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607476" w:rsidRPr="00607476" w:rsidTr="000A4FCF">
        <w:tc>
          <w:tcPr>
            <w:tcW w:w="234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sz w:val="24"/>
                <w:szCs w:val="24"/>
                <w:lang w:val="sq-AL"/>
              </w:rPr>
              <w:t>Numri i lëndës:</w:t>
            </w:r>
          </w:p>
        </w:tc>
        <w:tc>
          <w:tcPr>
            <w:tcW w:w="225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sz w:val="24"/>
                <w:szCs w:val="24"/>
                <w:lang w:val="sq-AL"/>
              </w:rPr>
              <w:t>2024:049243</w:t>
            </w:r>
          </w:p>
        </w:tc>
      </w:tr>
      <w:tr w:rsidR="00607476" w:rsidRPr="00607476" w:rsidTr="000A4FCF">
        <w:tc>
          <w:tcPr>
            <w:tcW w:w="234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color w:val="0D0D0D"/>
                <w:sz w:val="24"/>
                <w:szCs w:val="24"/>
                <w:lang w:val="sq-AL"/>
              </w:rPr>
              <w:t>Datë:</w:t>
            </w:r>
          </w:p>
        </w:tc>
        <w:tc>
          <w:tcPr>
            <w:tcW w:w="225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color w:val="0D0D0D"/>
                <w:sz w:val="24"/>
                <w:szCs w:val="24"/>
                <w:lang w:val="sq-AL"/>
              </w:rPr>
              <w:t>25.03.2024</w:t>
            </w:r>
          </w:p>
        </w:tc>
      </w:tr>
      <w:tr w:rsidR="00607476" w:rsidRPr="00607476" w:rsidTr="000A4FCF">
        <w:tc>
          <w:tcPr>
            <w:tcW w:w="234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Numri i dokumentit:    </w:t>
            </w:r>
          </w:p>
        </w:tc>
        <w:tc>
          <w:tcPr>
            <w:tcW w:w="2250" w:type="dxa"/>
          </w:tcPr>
          <w:p w:rsidR="00607476" w:rsidRPr="00607476" w:rsidRDefault="00607476" w:rsidP="00607476">
            <w:pPr>
              <w:tabs>
                <w:tab w:val="right" w:pos="9498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07476">
              <w:rPr>
                <w:rFonts w:ascii="Times New Roman" w:hAnsi="Times New Roman"/>
                <w:sz w:val="24"/>
                <w:szCs w:val="24"/>
                <w:lang w:val="sq-AL"/>
              </w:rPr>
              <w:t>05496719</w:t>
            </w:r>
          </w:p>
        </w:tc>
      </w:tr>
    </w:tbl>
    <w:p w:rsidR="00607476" w:rsidRPr="00607476" w:rsidRDefault="00607476" w:rsidP="00607476">
      <w:pPr>
        <w:ind w:left="720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          C.nr.850/2024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GJYKATA THEMELORE GJILAN-DEGA </w:t>
      </w:r>
      <w:r w:rsidR="00422BB0">
        <w:rPr>
          <w:rFonts w:ascii="Calibri" w:eastAsia="Times New Roman" w:hAnsi="Calibri" w:cs="Calibri"/>
          <w:b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gjyqtari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Alush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Sinani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bashkëpunëtoren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profesionale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Dardana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Behluli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çështjen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juridike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kontestimore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22BB0">
        <w:rPr>
          <w:rFonts w:ascii="Calibri" w:eastAsia="Times New Roman" w:hAnsi="Calibri" w:cs="Calibri"/>
          <w:sz w:val="24"/>
          <w:szCs w:val="24"/>
        </w:rPr>
        <w:t>S.I.</w:t>
      </w:r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fshati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B.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përfaqësuar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EA6DC6">
        <w:rPr>
          <w:rFonts w:ascii="Calibri" w:eastAsia="Times New Roman" w:hAnsi="Calibri" w:cs="Calibri"/>
          <w:sz w:val="24"/>
          <w:szCs w:val="24"/>
        </w:rPr>
        <w:t>T.A.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avokat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kundër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>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Drejtoria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Komunale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objekt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kompensimi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vlera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644 €,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seancës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date 22.03.2024,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mori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:</w:t>
      </w:r>
    </w:p>
    <w:p w:rsidR="00607476" w:rsidRPr="00607476" w:rsidRDefault="00607476" w:rsidP="00607476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>AKTGJYKIM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>I.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Aprovohet</w:t>
      </w:r>
      <w:proofErr w:type="spellEnd"/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bazuar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kërkesëpadia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22BB0">
        <w:rPr>
          <w:rFonts w:ascii="Calibri" w:eastAsia="Times New Roman" w:hAnsi="Calibri" w:cs="Calibri"/>
          <w:sz w:val="24"/>
          <w:szCs w:val="24"/>
        </w:rPr>
        <w:t>S.I.</w:t>
      </w:r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fshati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B.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detyrohet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>së-Drejtoria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Komunale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322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periudhën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21.01.2021-22.11.2022,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t’ia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paguajë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644 </w:t>
      </w:r>
      <w:r w:rsidRPr="00607476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€, 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kamatë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8 %,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llogaritur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ngritjes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pagesën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përfundimtare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afat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këtij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aktgjykimi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kërcënim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përmbarimit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II.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Detyrohet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t’ia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paguajë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procedurës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125 </w:t>
      </w:r>
      <w:r w:rsidRPr="00607476">
        <w:rPr>
          <w:rFonts w:ascii="Calibri" w:eastAsia="Times New Roman" w:hAnsi="Calibri" w:cs="Calibri"/>
          <w:sz w:val="24"/>
          <w:szCs w:val="24"/>
          <w:shd w:val="clear" w:color="auto" w:fill="FFFFFF"/>
        </w:rPr>
        <w:t>€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afat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ditësh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aktgjykimit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kërcënim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përmbarimit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ligjor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</w:p>
    <w:p w:rsidR="00607476" w:rsidRPr="00607476" w:rsidRDefault="00607476" w:rsidP="00607476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b/>
          <w:sz w:val="24"/>
          <w:szCs w:val="24"/>
        </w:rPr>
        <w:t>Arsyetim</w:t>
      </w:r>
      <w:proofErr w:type="spellEnd"/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 xml:space="preserve">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12.02.2024,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përfaqësuesi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paraqitur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kundër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objekt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kompensimi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vlera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644 €.</w:t>
      </w:r>
      <w:proofErr w:type="gramEnd"/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theksuar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marrëdhënie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tek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shkollën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Dëshmorët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r w:rsidR="00EA6DC6">
        <w:rPr>
          <w:rFonts w:ascii="Calibri" w:eastAsia="Times New Roman" w:hAnsi="Calibri" w:cs="Calibri"/>
          <w:sz w:val="24"/>
          <w:szCs w:val="24"/>
        </w:rPr>
        <w:t>L.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s”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fshatin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0" w:name="_GoBack"/>
      <w:r w:rsidR="00EA6DC6">
        <w:rPr>
          <w:rFonts w:ascii="Calibri" w:eastAsia="Times New Roman" w:hAnsi="Calibri" w:cs="Calibri"/>
          <w:sz w:val="24"/>
          <w:szCs w:val="24"/>
        </w:rPr>
        <w:t>L.</w:t>
      </w:r>
      <w:bookmarkEnd w:id="0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andaj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detyrohet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322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periudhën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21.01.2021-22.11.2022,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t’ia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paguajë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644 </w:t>
      </w:r>
      <w:r w:rsidRPr="00607476">
        <w:rPr>
          <w:rFonts w:ascii="Calibri" w:eastAsia="Times New Roman" w:hAnsi="Calibri" w:cs="Calibri"/>
          <w:sz w:val="24"/>
          <w:szCs w:val="24"/>
          <w:shd w:val="clear" w:color="auto" w:fill="FFFFFF"/>
        </w:rPr>
        <w:t>€</w:t>
      </w:r>
      <w:r w:rsidRPr="00607476">
        <w:rPr>
          <w:rFonts w:ascii="Calibri" w:eastAsia="Times New Roman" w:hAnsi="Calibri" w:cs="Calibri"/>
          <w:sz w:val="24"/>
          <w:szCs w:val="24"/>
        </w:rPr>
        <w:t>.</w:t>
      </w:r>
      <w:r w:rsidRPr="00607476">
        <w:rPr>
          <w:rFonts w:ascii="Calibri" w:eastAsia="Times New Roman" w:hAnsi="Calibri" w:cs="Calibri"/>
          <w:bCs/>
          <w:iCs/>
          <w:sz w:val="24"/>
          <w:szCs w:val="24"/>
        </w:rPr>
        <w:t xml:space="preserve"> Si </w:t>
      </w:r>
      <w:proofErr w:type="spellStart"/>
      <w:r w:rsidRPr="00607476">
        <w:rPr>
          <w:rFonts w:ascii="Calibri" w:eastAsia="Times New Roman" w:hAnsi="Calibri" w:cs="Calibri"/>
          <w:bCs/>
          <w:iCs/>
          <w:sz w:val="24"/>
          <w:szCs w:val="24"/>
        </w:rPr>
        <w:t>prova</w:t>
      </w:r>
      <w:proofErr w:type="spellEnd"/>
      <w:r w:rsidRPr="00607476">
        <w:rPr>
          <w:rFonts w:ascii="Calibri" w:eastAsia="Times New Roman" w:hAnsi="Calibri" w:cs="Calibri"/>
          <w:bCs/>
          <w:iCs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bCs/>
          <w:iCs/>
          <w:sz w:val="24"/>
          <w:szCs w:val="24"/>
        </w:rPr>
        <w:t>padisë</w:t>
      </w:r>
      <w:proofErr w:type="spellEnd"/>
      <w:r w:rsidRPr="00607476">
        <w:rPr>
          <w:rFonts w:ascii="Calibri" w:eastAsia="Times New Roman" w:hAnsi="Calibri" w:cs="Calibri"/>
          <w:bCs/>
          <w:iCs/>
          <w:sz w:val="24"/>
          <w:szCs w:val="24"/>
        </w:rPr>
        <w:t xml:space="preserve"> 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bashkëngjitur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: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Vërtetimin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lëshuar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shkolla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Dëshmorët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r w:rsidR="00EA6DC6">
        <w:rPr>
          <w:rFonts w:ascii="Calibri" w:eastAsia="Times New Roman" w:hAnsi="Calibri" w:cs="Calibri"/>
          <w:sz w:val="24"/>
          <w:szCs w:val="24"/>
        </w:rPr>
        <w:t>L.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s”, nr. </w:t>
      </w:r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 xml:space="preserve">127/02,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21.11.2023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Listën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pagave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EM00057721.</w:t>
      </w:r>
      <w:proofErr w:type="gram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procedurale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21 €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taksën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gjyqësore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104 €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përpilimin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607476">
        <w:rPr>
          <w:rFonts w:ascii="Calibri" w:eastAsia="Times New Roman" w:hAnsi="Calibri" w:cs="Calibri"/>
          <w:sz w:val="24"/>
          <w:szCs w:val="24"/>
        </w:rPr>
        <w:lastRenderedPageBreak/>
        <w:t xml:space="preserve">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përgjigjje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kundërshtuar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pa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bazuar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kërkesëpadinë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pretendimin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përgjegjëse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Kolektive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r w:rsidR="00422BB0">
        <w:rPr>
          <w:rFonts w:ascii="Calibri" w:eastAsia="Times New Roman" w:hAnsi="Calibri" w:cs="Calibri"/>
          <w:sz w:val="24"/>
          <w:szCs w:val="24"/>
        </w:rPr>
        <w:t>V.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t 2017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mëditjet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paguhen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ministria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përkatëse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poashtu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tutje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pretenduar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Qeveria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Ministria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shfuqizuar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Kolektive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tutje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KK)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SBASHK-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nr. </w:t>
      </w:r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 xml:space="preserve">105,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22.01.2021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KK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paraprake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nr.</w:t>
      </w:r>
      <w:proofErr w:type="gramEnd"/>
      <w:r w:rsidRPr="00607476">
        <w:rPr>
          <w:rFonts w:ascii="Calibri" w:eastAsia="Times New Roman" w:hAnsi="Calibri" w:cs="Calibri"/>
          <w:sz w:val="24"/>
          <w:szCs w:val="24"/>
        </w:rPr>
        <w:t xml:space="preserve"> 01B/2056,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21.11.2022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prandaj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rrjedh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asnjë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obligim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ndaj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Lidhur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procedurale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deklaruar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gjetur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asnjë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faktet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paraqitura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kontestuese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: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ekzistimi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marrëdhënies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fakti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qenë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pranishme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322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këto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fakte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vlerësuar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kushtet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398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Procedurën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Kontestimore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(LPK),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cilin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t’i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arrijë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përgjigja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konstaton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ndërmjet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palëve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kontestuese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gjendja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faktike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ekzistojnë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pengesa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tjera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dhënien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vendimit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meritor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atëherë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ajo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pa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fare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seancë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gjyqësore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mund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japë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aktgjykimin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cilin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pranon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themeltë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kërkesë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”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përfundim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gjitha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kushtet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plotësuar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sepse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gjendja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faktike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kontestuese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po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ashtu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ekzistojnë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pengesa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tjera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pa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seancë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gjyqësore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pranohet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themeltë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kërkesëpadia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Sipas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Marrëdhëniet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Detyrimeve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(LMD),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përkatësisht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245,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paragrafit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Kreditori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marrëdhënien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drejtë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debitorit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kërkojë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përmbushjen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ndërsa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debitori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përmbushë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ndërgjegjje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tërësi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përputhje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përmbajtjen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tij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”,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35, par. 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Kolektive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Kosovë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tutje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KKAK-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),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18.04.2017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KKAK-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datës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22.01.2021,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punësuarve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sigurohet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kompensim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pranisë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Vlera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kompensimit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 (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dy</w:t>
      </w:r>
      <w:proofErr w:type="spellEnd"/>
      <w:proofErr w:type="gramEnd"/>
      <w:r w:rsidRPr="00607476">
        <w:rPr>
          <w:rFonts w:ascii="Calibri" w:eastAsia="Times New Roman" w:hAnsi="Calibri" w:cs="Calibri"/>
          <w:sz w:val="24"/>
          <w:szCs w:val="24"/>
        </w:rPr>
        <w:t xml:space="preserve">) euro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punësuarit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marrëdhënien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primare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institucionet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Punëdhënësi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cili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rregulluar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punësuarve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përmes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restaurantit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a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kuzhinës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formë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tjetër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nuk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obligim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kompensimin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ushqim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”,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vendosur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pikën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dispozitivit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këtij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aktgjykimi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kamatën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vendosur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bazë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382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LMD-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i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cili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Debitori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vonon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përmbushjen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holla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debiton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përpos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borxhit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kryesor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kamatën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Lartësia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kamatëvonesës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është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8 % (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tetë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përqind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përveç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parashihet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ndryshe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ligj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veçantë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”.</w:t>
      </w:r>
      <w:proofErr w:type="gram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Kundërshtimet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gjetur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pa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bazuara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sepse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palët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kontraktuese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KKAK-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, (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Ministria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Shkencës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Teknologjisë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(MASHT)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Sindikata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Bashkuar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Shkencës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Kulturës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(SBASHK)),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2, par. 1.2.,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Dispozitat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kësaj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Kolektive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zbatueshme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gjithë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punëdhënësit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sektorin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r w:rsidRPr="00607476">
        <w:rPr>
          <w:rFonts w:ascii="Calibri" w:eastAsia="Times New Roman" w:hAnsi="Calibri" w:cs="Calibri"/>
          <w:sz w:val="24"/>
          <w:szCs w:val="24"/>
        </w:rPr>
        <w:lastRenderedPageBreak/>
        <w:t>(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Komunat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-DKA, KD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Universiteteve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institucioneve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arsimit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lartë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MASHT-in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etj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.) </w:t>
      </w: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proofErr w:type="gram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sektorin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publik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institucionet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edukativo-arsimore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private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mbarë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territorin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Republikës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Kosovës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”.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Gjithashtu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37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përcaktuar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se: “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Palët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nënshkruese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kësaj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kolektive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janë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obliguara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që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zbatojnë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t’i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respektojnë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dispozitat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kësaj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kontrate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”.</w:t>
      </w:r>
    </w:p>
    <w:p w:rsidR="00607476" w:rsidRPr="00607476" w:rsidRDefault="00607476" w:rsidP="00607476">
      <w:pPr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procedurës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gjykata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vendosi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duke u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bazuar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449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lidhur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452.1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463.1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LPK-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paditura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humbur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kontestin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arsye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detyrua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paguajë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shpenzimet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paditësit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taksën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gjyqësore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21 </w:t>
      </w:r>
      <w:r w:rsidRPr="00607476">
        <w:rPr>
          <w:rFonts w:ascii="Calibri" w:eastAsia="Times New Roman" w:hAnsi="Calibri" w:cs="Calibri"/>
          <w:color w:val="202122"/>
          <w:sz w:val="24"/>
          <w:szCs w:val="24"/>
          <w:shd w:val="clear" w:color="auto" w:fill="FFFFFF"/>
        </w:rPr>
        <w:t xml:space="preserve">€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përpilimin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padisë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shumën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prej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104 </w:t>
      </w:r>
      <w:r w:rsidRPr="00607476">
        <w:rPr>
          <w:rFonts w:ascii="Calibri" w:eastAsia="Times New Roman" w:hAnsi="Calibri" w:cs="Calibri"/>
          <w:color w:val="202122"/>
          <w:sz w:val="24"/>
          <w:szCs w:val="24"/>
          <w:shd w:val="clear" w:color="auto" w:fill="FFFFFF"/>
        </w:rPr>
        <w:t>€</w:t>
      </w:r>
      <w:r w:rsidRPr="00607476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607476" w:rsidRPr="00607476" w:rsidRDefault="00607476" w:rsidP="0060747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sz w:val="24"/>
          <w:szCs w:val="24"/>
        </w:rPr>
      </w:pPr>
      <w:proofErr w:type="spellStart"/>
      <w:proofErr w:type="gramStart"/>
      <w:r w:rsidRPr="00607476">
        <w:rPr>
          <w:rFonts w:ascii="Calibri" w:eastAsia="Times New Roman" w:hAnsi="Calibri" w:cs="Calibri"/>
          <w:sz w:val="24"/>
          <w:szCs w:val="24"/>
        </w:rPr>
        <w:t>Nga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lartcekurat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e duke u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mbështetur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edhe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nenin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142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LPK-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, u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vendos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në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dispozitiv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të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këtij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aktgjykimi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>.</w:t>
      </w:r>
      <w:proofErr w:type="gramEnd"/>
    </w:p>
    <w:p w:rsidR="00607476" w:rsidRPr="00607476" w:rsidRDefault="00607476" w:rsidP="00607476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GJYKATA THEMELORE GJILAN - DEGA </w:t>
      </w:r>
      <w:r w:rsidR="00422BB0">
        <w:rPr>
          <w:rFonts w:ascii="Calibri" w:eastAsia="Times New Roman" w:hAnsi="Calibri" w:cs="Calibri"/>
          <w:b/>
          <w:sz w:val="24"/>
          <w:szCs w:val="24"/>
        </w:rPr>
        <w:t>V.</w:t>
      </w:r>
    </w:p>
    <w:p w:rsidR="00607476" w:rsidRPr="00607476" w:rsidRDefault="00607476" w:rsidP="00607476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C.nr.850/2024, </w:t>
      </w:r>
      <w:proofErr w:type="spellStart"/>
      <w:r w:rsidRPr="00607476">
        <w:rPr>
          <w:rFonts w:ascii="Calibri" w:eastAsia="Times New Roman" w:hAnsi="Calibri" w:cs="Calibri"/>
          <w:b/>
          <w:sz w:val="24"/>
          <w:szCs w:val="24"/>
        </w:rPr>
        <w:t>Datë</w:t>
      </w:r>
      <w:proofErr w:type="spellEnd"/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 22.03.2024</w:t>
      </w:r>
    </w:p>
    <w:p w:rsidR="00607476" w:rsidRPr="00607476" w:rsidRDefault="00607476" w:rsidP="00607476">
      <w:pPr>
        <w:ind w:left="79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07476">
        <w:rPr>
          <w:rFonts w:ascii="Calibri" w:eastAsia="Times New Roman" w:hAnsi="Calibri" w:cs="Calibri"/>
          <w:b/>
          <w:sz w:val="24"/>
          <w:szCs w:val="24"/>
        </w:rPr>
        <w:t xml:space="preserve">             </w:t>
      </w:r>
      <w:r w:rsidRPr="00607476">
        <w:rPr>
          <w:rFonts w:ascii="Calibri" w:eastAsia="Times New Roman" w:hAnsi="Calibri" w:cs="Calibri"/>
          <w:b/>
          <w:sz w:val="24"/>
          <w:szCs w:val="24"/>
        </w:rPr>
        <w:tab/>
        <w:t xml:space="preserve">                </w:t>
      </w:r>
      <w:proofErr w:type="spellStart"/>
      <w:r w:rsidRPr="00607476">
        <w:rPr>
          <w:rFonts w:ascii="Calibri" w:eastAsia="Times New Roman" w:hAnsi="Calibri" w:cs="Calibri"/>
          <w:b/>
          <w:sz w:val="24"/>
          <w:szCs w:val="24"/>
        </w:rPr>
        <w:t>Gjyqtari</w:t>
      </w:r>
      <w:proofErr w:type="spellEnd"/>
      <w:r w:rsidRPr="00607476">
        <w:rPr>
          <w:rFonts w:ascii="Calibri" w:eastAsia="Times New Roman" w:hAnsi="Calibri" w:cs="Calibri"/>
          <w:b/>
          <w:sz w:val="24"/>
          <w:szCs w:val="24"/>
        </w:rPr>
        <w:t>,</w:t>
      </w:r>
    </w:p>
    <w:p w:rsidR="00607476" w:rsidRPr="00607476" w:rsidRDefault="00607476" w:rsidP="00607476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607476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 w:rsidRPr="00607476">
        <w:rPr>
          <w:rFonts w:ascii="Calibri" w:eastAsia="Times New Roman" w:hAnsi="Calibri" w:cs="Calibri"/>
          <w:sz w:val="24"/>
          <w:szCs w:val="24"/>
        </w:rPr>
        <w:tab/>
        <w:t xml:space="preserve">                    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Alush</w:t>
      </w:r>
      <w:proofErr w:type="spellEnd"/>
      <w:r w:rsidRPr="0060747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607476">
        <w:rPr>
          <w:rFonts w:ascii="Calibri" w:eastAsia="Times New Roman" w:hAnsi="Calibri" w:cs="Calibri"/>
          <w:sz w:val="24"/>
          <w:szCs w:val="24"/>
        </w:rPr>
        <w:t>Sinani</w:t>
      </w:r>
      <w:proofErr w:type="spellEnd"/>
    </w:p>
    <w:p w:rsidR="00607476" w:rsidRPr="00607476" w:rsidRDefault="00607476" w:rsidP="00607476">
      <w:pPr>
        <w:spacing w:after="240"/>
        <w:jc w:val="both"/>
        <w:rPr>
          <w:rFonts w:ascii="Calibri" w:eastAsia="Times New Roman" w:hAnsi="Calibri" w:cs="Calibri"/>
          <w:sz w:val="24"/>
          <w:szCs w:val="24"/>
        </w:rPr>
      </w:pPr>
    </w:p>
    <w:p w:rsidR="00607476" w:rsidRPr="00607476" w:rsidRDefault="00607476" w:rsidP="00607476">
      <w:pPr>
        <w:spacing w:after="240"/>
        <w:jc w:val="both"/>
        <w:rPr>
          <w:rFonts w:ascii="Calibri" w:eastAsia="Times New Roman" w:hAnsi="Calibri" w:cs="Calibri"/>
          <w:sz w:val="24"/>
          <w:szCs w:val="24"/>
        </w:rPr>
      </w:pPr>
    </w:p>
    <w:p w:rsidR="00607476" w:rsidRPr="00607476" w:rsidRDefault="00607476" w:rsidP="00607476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sq-AL"/>
        </w:rPr>
      </w:pPr>
    </w:p>
    <w:p w:rsidR="00607476" w:rsidRPr="00607476" w:rsidRDefault="00607476" w:rsidP="00607476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sq-AL"/>
        </w:rPr>
      </w:pPr>
      <w:r w:rsidRPr="00607476">
        <w:rPr>
          <w:rFonts w:ascii="Calibri" w:eastAsia="Times New Roman" w:hAnsi="Calibri" w:cs="Calibri"/>
          <w:b/>
          <w:sz w:val="24"/>
          <w:szCs w:val="24"/>
          <w:lang w:val="sq-AL"/>
        </w:rPr>
        <w:t>Këshillë Juridike:</w:t>
      </w:r>
      <w:r w:rsidRPr="00607476">
        <w:rPr>
          <w:rFonts w:ascii="Calibri" w:eastAsia="Times New Roman" w:hAnsi="Calibri" w:cs="Calibri"/>
          <w:sz w:val="24"/>
          <w:szCs w:val="24"/>
          <w:lang w:val="sq-AL"/>
        </w:rPr>
        <w:t xml:space="preserve"> Kundër këtij aktgjykimi është e lejuar ankesa në Gjykatën Apelit të Kosovës në Prishtinë, në afatin prej 7 ditëve pas ditës së pranimit. Ankesa në kopje të mjaftueshme, dorëzohet nëpërmjet kësaj gjykate.</w:t>
      </w:r>
    </w:p>
    <w:p w:rsidR="00607476" w:rsidRPr="00607476" w:rsidRDefault="00607476" w:rsidP="00607476">
      <w:pPr>
        <w:rPr>
          <w:rFonts w:ascii="Calibri" w:eastAsia="Times New Roman" w:hAnsi="Calibri" w:cs="Calibri"/>
          <w:sz w:val="24"/>
          <w:szCs w:val="24"/>
        </w:rPr>
      </w:pPr>
    </w:p>
    <w:p w:rsidR="00607476" w:rsidRPr="00607476" w:rsidRDefault="00607476" w:rsidP="00607476">
      <w:pPr>
        <w:rPr>
          <w:rFonts w:ascii="Calibri" w:eastAsia="Times New Roman" w:hAnsi="Calibri" w:cs="Calibri"/>
          <w:sz w:val="24"/>
          <w:szCs w:val="24"/>
        </w:rPr>
      </w:pPr>
    </w:p>
    <w:p w:rsidR="00607476" w:rsidRPr="00607476" w:rsidRDefault="00607476" w:rsidP="00607476">
      <w:pPr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jc w:val="both"/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jc w:val="both"/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jc w:val="both"/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jc w:val="both"/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rPr>
          <w:rFonts w:ascii="Calibri" w:eastAsia="Times New Roman" w:hAnsi="Calibri" w:cs="Calibri"/>
        </w:rPr>
      </w:pPr>
    </w:p>
    <w:p w:rsidR="00607476" w:rsidRPr="00607476" w:rsidRDefault="00607476" w:rsidP="0060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07476" w:rsidRPr="00607476" w:rsidRDefault="00607476" w:rsidP="0060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sectPr w:rsidR="00607476" w:rsidRPr="00607476" w:rsidSect="00BF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0C" w:rsidRDefault="00250A0C">
      <w:pPr>
        <w:spacing w:after="0" w:line="240" w:lineRule="auto"/>
      </w:pPr>
      <w:r>
        <w:separator/>
      </w:r>
    </w:p>
  </w:endnote>
  <w:endnote w:type="continuationSeparator" w:id="0">
    <w:p w:rsidR="00250A0C" w:rsidRDefault="002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250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607476" w:rsidP="00EB64E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19CF9" wp14:editId="541FF05F">
              <wp:simplePos x="0" y="0"/>
              <wp:positionH relativeFrom="column">
                <wp:posOffset>-810895</wp:posOffset>
              </wp:positionH>
              <wp:positionV relativeFrom="paragraph">
                <wp:posOffset>-3856355</wp:posOffset>
              </wp:positionV>
              <wp:extent cx="387350" cy="41998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" cy="4199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429D" w:rsidRPr="006F6B3F" w:rsidRDefault="00607476" w:rsidP="006F6B3F">
                          <w:pPr>
                            <w:pStyle w:val="Footer"/>
                            <w:rPr>
                              <w:rFonts w:cs="Calibr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>
                            <w:t>2024:049244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SNWwIAALQEAAAOAAAAZHJzL2Uyb0RvYy54bWysVE1vGjEQvVfqf7B8bxYI+WDFEtFEVJVQ&#10;EimpcjZeL6zq9bi2YZf++j57IaFpT1U5mPHM88y8+djpTddotlPO12QKPjwbcKaMpLI264J/e158&#10;uubMB2FKocmogu+V5zezjx+mrc3ViDakS+UYnBift7bgmxBsnmVeblQj/BlZZWCsyDUi4OrWWelE&#10;C++NzkaDwWXWkiutI6m8h/auN/JZ8l9VSoaHqvIqMF1w5BbS6dK5imc2m4p87YTd1PKQhviHLBpR&#10;GwR9dXUngmBbV//hqqmlI09VOJPUZFRVtVSJA9gMB+/YPG2EVYkLiuPta5n8/3Mr73ePjtVlwUec&#10;GdGgRc+qC+wzdWwUq9NanwP0ZAELHdTocmLq7ZLkdw9IdoLpH3igYzW6yjXxHzwZHqIB+9eixygS&#10;yvPrq/MLWCRM4+Fkcj1JXcneXlvnwxdFDYtCwR2amjIQu6UPMb7Ij5AYzJOuy0Wtdbrs/a12bCfQ&#10;f4xNSS1nWvgAZcEX6RdZwsVvz7RhbcEvY2LRi6Hor8dpEzUqzdYhfuTfU45S6FYdoFFcUblH3Rz1&#10;c+etXNTgsEQCj8Jh0MAbyxMecFSaEJIOEmcbcj//po/4gsdzdIXnLWa34P7HVjgFal8NhmMyHI9h&#10;Cukyvrga4eJOLatTi9k2t4TyDLGpViYx4oM+ipWj5gVrNo+BYRJGIrmCh6N4G/qNwppKNZ8nEMbb&#10;irA0T1YeJyY26bl7Ec4eOhkwA/d0nHKRv2toj+3rP98GqurU7bfCHkYPq5E6eFjjuHun94R6+9jM&#10;fgEAAP//AwBQSwMEFAAGAAgAAAAhAP986P3iAAAADAEAAA8AAABkcnMvZG93bnJldi54bWxMj01P&#10;g0AQhu8m/ofNmHgxdKGt0CBLY5r05kHRRL0tMF2I7Cxhty366x1P9TYfT955ptjOdhAnnHzvSEGy&#10;iEEgNa7tySh4e91HGxA+aGr14AgVfKOHbXl9Vei8dWd6wVMVjOAQ8rlW0IUw5lL6pkOr/cKNSLw7&#10;uMnqwO1kZDvpM4fbQS7jOJVW98QXOj3irsPmqzpaBWGz/7h76uvDz+dcvZvV+nknjVHq9mZ+fAAR&#10;cA4XGP70WR1KdqrdkVovBgVRsswyZrlK42wFgpkoTXlUK7hfJyDLQv5/ovwFAAD//wMAUEsBAi0A&#10;FAAGAAgAAAAhALaDOJL+AAAA4QEAABMAAAAAAAAAAAAAAAAAAAAAAFtDb250ZW50X1R5cGVzXS54&#10;bWxQSwECLQAUAAYACAAAACEAOP0h/9YAAACUAQAACwAAAAAAAAAAAAAAAAAvAQAAX3JlbHMvLnJl&#10;bHNQSwECLQAUAAYACAAAACEAuXL0jVsCAAC0BAAADgAAAAAAAAAAAAAAAAAuAgAAZHJzL2Uyb0Rv&#10;Yy54bWxQSwECLQAUAAYACAAAACEA/3zo/eIAAAAMAQAADwAAAAAAAAAAAAAAAAC1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32429D" w:rsidRPr="006F6B3F" w:rsidRDefault="00607476" w:rsidP="006F6B3F">
                    <w:pPr>
                      <w:pStyle w:val="Footer"/>
                      <w:rPr>
                        <w:rFonts w:cs="Calibr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r>
                      <w:t>2024:049244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6DC6">
      <w:rPr>
        <w:noProof/>
      </w:rPr>
      <w:t>2</w:t>
    </w:r>
    <w:r>
      <w:fldChar w:fldCharType="end"/>
    </w:r>
    <w:r>
      <w:rPr>
        <w:noProof/>
      </w:rP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A6DC6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60747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8D1A7" wp14:editId="2FAF9B28">
              <wp:simplePos x="0" y="0"/>
              <wp:positionH relativeFrom="column">
                <wp:posOffset>-800735</wp:posOffset>
              </wp:positionH>
              <wp:positionV relativeFrom="paragraph">
                <wp:posOffset>-3165475</wp:posOffset>
              </wp:positionV>
              <wp:extent cx="377190" cy="350901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35090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429D" w:rsidRPr="003F2D6F" w:rsidRDefault="00607476" w:rsidP="006F6B3F">
                          <w:pPr>
                            <w:pStyle w:val="Footer"/>
                            <w:rPr>
                              <w:rFonts w:cs="Calibr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>
                            <w:t>2024:049244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71XQIAALsEAAAOAAAAZHJzL2Uyb0RvYy54bWysVMtu2zAQvBfoPxC8N/IrcWJEDtwELgoY&#10;SYCkyJmmKFsoxWVJ2pL79R1ScuKmPRX1gSa5w33Mzur6pq012yvnKzI5H54NOFNGUlGZTc6/PS8/&#10;XXLmgzCF0GRUzg/K85v5xw/XjZ2pEW1JF8oxODF+1ticb0Owsyzzcqtq4c/IKgNjSa4WAUe3yQon&#10;GnivdTYaDC6yhlxhHUnlPW7vOiOfJ/9lqWR4KEuvAtM5R24hrS6t67hm82sx2zhht5Xs0xD/kEUt&#10;KoOgr67uRBBs56o/XNWVdOSpDGeS6ozKspIq1YBqhoN31TxthVWpFpDj7StN/v+5lff7R8eqIudj&#10;zoyo0aJn1Qb2mVo2juw01s8AerKAhRbX6HKq1NsVye8ekOwE0z3wQEc22tLV8R91MjxEAw6vpMco&#10;Epfj6XR4BYuEaXw+uAINMW729to6H74oqlnc5NyhqSkDsV/50EGPkBjMk66KZaV1Ohz8rXZsL9B/&#10;yKaghjMtfMBlzpfp10f77Zk2rMn5BfJJkQxFf10obaJflbTVx4/1dyXHXWjXbWJ0eORvTcUB9Dnq&#10;5OetXFYoZYU8HoWD3lA+Zig8YCk1ITL1O8625H7+7T7icx7X0RTPG0g45/7HTjiFCr8aaORqOJnA&#10;FNJhcj4d4eBOLetTi9nVtwSWhhhYK9M24oM+bktH9QumbREDwySMRHI5D8ftbegGC9Mq1WKRQFC5&#10;FWFlnqw8Cif26rl9Ec72DQ2Qwj0dxS5m7/raYSPphha7QGWVmh6p7ojtFYgJSbLppzmO4Ok5od6+&#10;OfNfAAAA//8DAFBLAwQUAAYACAAAACEAygv6yeMAAAAMAQAADwAAAGRycy9kb3ducmV2LnhtbEyP&#10;wU7DMAyG70i8Q2QkLqhLO7pSStMJTdqNAytIG7e08dKKJqmabCs8PeYEN1v+9Pv7y/VsBnbGyffO&#10;CkgWMTC0rVO91QLe37ZRDswHaZUcnEUBX+hhXV1flbJQ7mJ3eK6DZhRifSEFdCGMBee+7dBIv3Aj&#10;Wrod3WRkoHXSXE3yQuFm4Ms4zriRvaUPnRxx02H7WZ+MgJBvD3cvfXP8/pjrvb5PXzdcayFub+bn&#10;J2AB5/AHw68+qUNFTo07WeXZICBKlllCLE3pY74CRkyUZQ/AGgGrNAFelfx/ieoHAAD//wMAUEsB&#10;Ai0AFAAGAAgAAAAhALaDOJL+AAAA4QEAABMAAAAAAAAAAAAAAAAAAAAAAFtDb250ZW50X1R5cGVz&#10;XS54bWxQSwECLQAUAAYACAAAACEAOP0h/9YAAACUAQAACwAAAAAAAAAAAAAAAAAvAQAAX3JlbHMv&#10;LnJlbHNQSwECLQAUAAYACAAAACEA2GUu9V0CAAC7BAAADgAAAAAAAAAAAAAAAAAuAgAAZHJzL2Uy&#10;b0RvYy54bWxQSwECLQAUAAYACAAAACEAygv6yeMAAAAMAQAADwAAAAAAAAAAAAAAAAC3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:rsidR="0032429D" w:rsidRPr="003F2D6F" w:rsidRDefault="00607476" w:rsidP="006F6B3F">
                    <w:pPr>
                      <w:pStyle w:val="Footer"/>
                      <w:rPr>
                        <w:rFonts w:cs="Calibr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r>
                      <w:t>2024:049244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A6DC6">
      <w:rPr>
        <w:noProof/>
      </w:rPr>
      <w:t>1</w:t>
    </w:r>
    <w:r>
      <w:fldChar w:fldCharType="end"/>
    </w:r>
    <w:r>
      <w:rPr>
        <w:noProof/>
      </w:rP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A6DC6">
      <w:rPr>
        <w:noProof/>
      </w:rPr>
      <w:t>3</w:t>
    </w:r>
    <w:r>
      <w:rPr>
        <w:noProof/>
      </w:rPr>
      <w:fldChar w:fldCharType="end"/>
    </w:r>
    <w:r>
      <w:rPr>
        <w:noProof/>
      </w:rPr>
      <w:t>)</w:t>
    </w:r>
    <w:r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0C" w:rsidRDefault="00250A0C">
      <w:pPr>
        <w:spacing w:after="0" w:line="240" w:lineRule="auto"/>
      </w:pPr>
      <w:r>
        <w:separator/>
      </w:r>
    </w:p>
  </w:footnote>
  <w:footnote w:type="continuationSeparator" w:id="0">
    <w:p w:rsidR="00250A0C" w:rsidRDefault="0025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250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Pr="00717D13" w:rsidRDefault="00607476" w:rsidP="00731283">
    <w:pPr>
      <w:pStyle w:val="Header"/>
      <w:tabs>
        <w:tab w:val="left" w:pos="6237"/>
        <w:tab w:val="right" w:pos="9185"/>
      </w:tabs>
    </w:pPr>
    <w:r>
      <w:tab/>
    </w:r>
    <w:proofErr w:type="spellStart"/>
    <w:r w:rsidRPr="00717D13">
      <w:t>Numri</w:t>
    </w:r>
    <w:proofErr w:type="spellEnd"/>
    <w:r w:rsidRPr="00717D13">
      <w:t xml:space="preserve"> i </w:t>
    </w:r>
    <w:proofErr w:type="spellStart"/>
    <w:r w:rsidRPr="00717D13">
      <w:t>lëndës</w:t>
    </w:r>
    <w:proofErr w:type="spellEnd"/>
    <w:r w:rsidRPr="00717D13">
      <w:t>:</w:t>
    </w:r>
    <w:r w:rsidRPr="00717D13">
      <w:tab/>
      <w:t>2024:049243</w:t>
    </w:r>
  </w:p>
  <w:p w:rsidR="0032429D" w:rsidRPr="00717D13" w:rsidRDefault="00607476" w:rsidP="00717D13">
    <w:pPr>
      <w:tabs>
        <w:tab w:val="left" w:pos="6237"/>
        <w:tab w:val="right" w:pos="9185"/>
      </w:tabs>
      <w:rPr>
        <w:sz w:val="18"/>
      </w:rPr>
    </w:pPr>
    <w:r w:rsidRPr="00717D13">
      <w:rPr>
        <w:sz w:val="18"/>
      </w:rPr>
      <w:tab/>
    </w:r>
    <w:proofErr w:type="spellStart"/>
    <w:r w:rsidRPr="00717D13">
      <w:rPr>
        <w:sz w:val="18"/>
      </w:rPr>
      <w:t>Datë</w:t>
    </w:r>
    <w:proofErr w:type="spellEnd"/>
    <w:r w:rsidRPr="00717D13">
      <w:rPr>
        <w:sz w:val="18"/>
      </w:rPr>
      <w:t>:</w:t>
    </w:r>
    <w:r w:rsidRPr="00717D13">
      <w:rPr>
        <w:sz w:val="18"/>
      </w:rPr>
      <w:tab/>
      <w:t>25.03.2024</w:t>
    </w:r>
  </w:p>
  <w:p w:rsidR="0032429D" w:rsidRPr="00717D13" w:rsidRDefault="00607476" w:rsidP="00717D13">
    <w:pPr>
      <w:tabs>
        <w:tab w:val="left" w:pos="6237"/>
        <w:tab w:val="right" w:pos="9185"/>
      </w:tabs>
      <w:rPr>
        <w:sz w:val="18"/>
      </w:rPr>
    </w:pPr>
    <w:r w:rsidRPr="00717D13">
      <w:rPr>
        <w:sz w:val="18"/>
      </w:rPr>
      <w:tab/>
    </w:r>
    <w:proofErr w:type="spellStart"/>
    <w:r w:rsidRPr="00717D13">
      <w:rPr>
        <w:sz w:val="18"/>
      </w:rPr>
      <w:t>Numri</w:t>
    </w:r>
    <w:proofErr w:type="spellEnd"/>
    <w:r w:rsidRPr="00717D13">
      <w:rPr>
        <w:sz w:val="18"/>
      </w:rPr>
      <w:t xml:space="preserve"> i </w:t>
    </w:r>
    <w:proofErr w:type="spellStart"/>
    <w:r w:rsidRPr="00717D13">
      <w:rPr>
        <w:sz w:val="18"/>
      </w:rPr>
      <w:t>dokumentit</w:t>
    </w:r>
    <w:proofErr w:type="spellEnd"/>
    <w:r w:rsidRPr="00717D13">
      <w:rPr>
        <w:sz w:val="18"/>
      </w:rPr>
      <w:t>:</w:t>
    </w:r>
    <w:r w:rsidRPr="00717D13">
      <w:rPr>
        <w:sz w:val="18"/>
      </w:rPr>
      <w:tab/>
      <w:t>05496719</w:t>
    </w:r>
  </w:p>
  <w:p w:rsidR="0032429D" w:rsidRPr="001859FA" w:rsidRDefault="00250A0C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2429D" w:rsidRPr="00F40D4F" w:rsidTr="0081044C">
      <w:tc>
        <w:tcPr>
          <w:tcW w:w="9306" w:type="dxa"/>
        </w:tcPr>
        <w:p w:rsidR="0032429D" w:rsidRDefault="0060747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</w:rPr>
            <w:drawing>
              <wp:inline distT="0" distB="0" distL="0" distR="0" wp14:anchorId="68554646" wp14:editId="2A75DC80">
                <wp:extent cx="571500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29D" w:rsidRPr="00C50388" w:rsidTr="0081044C">
      <w:tc>
        <w:tcPr>
          <w:tcW w:w="9306" w:type="dxa"/>
        </w:tcPr>
        <w:p w:rsidR="0032429D" w:rsidRDefault="0060747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eastAsia="Batang" w:cs="Aparajita"/>
              <w:lang w:val="sv-SE"/>
            </w:rPr>
          </w:pPr>
          <w:r>
            <w:rPr>
              <w:rFonts w:cs="Aparajita"/>
            </w:rPr>
            <w:t>REPUBLIKA E KOSOVËS/</w:t>
          </w:r>
          <w:r>
            <w:rPr>
              <w:rFonts w:eastAsia="Batang" w:cs="Aparajita"/>
              <w:lang w:val="sv-SE"/>
            </w:rPr>
            <w:t xml:space="preserve">REPUBLIKA KOSOVA </w:t>
          </w:r>
        </w:p>
        <w:p w:rsidR="0032429D" w:rsidRDefault="00250A0C" w:rsidP="00834178">
          <w:pPr>
            <w:rPr>
              <w:lang w:val="sv-SE"/>
            </w:rPr>
          </w:pPr>
        </w:p>
      </w:tc>
    </w:tr>
    <w:tr w:rsidR="0032429D" w:rsidRPr="00F40D4F" w:rsidTr="0081044C">
      <w:tc>
        <w:tcPr>
          <w:tcW w:w="9306" w:type="dxa"/>
          <w:tcBorders>
            <w:bottom w:val="single" w:sz="12" w:space="0" w:color="FF0000"/>
          </w:tcBorders>
        </w:tcPr>
        <w:p w:rsidR="0032429D" w:rsidRDefault="00250A0C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32429D" w:rsidRPr="001A1ED3" w:rsidRDefault="00607476" w:rsidP="001A1ED3">
          <w:pPr>
            <w:jc w:val="center"/>
          </w:pPr>
          <w:r>
            <w:t>GJYKATA THEMELORE GJILAN  - DEGA E GJYKATËS VITI</w:t>
          </w:r>
        </w:p>
      </w:tc>
    </w:tr>
  </w:tbl>
  <w:p w:rsidR="0032429D" w:rsidRDefault="00250A0C" w:rsidP="0035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B"/>
    <w:rsid w:val="00250A0C"/>
    <w:rsid w:val="003F5A61"/>
    <w:rsid w:val="00422BB0"/>
    <w:rsid w:val="00607476"/>
    <w:rsid w:val="00D9135B"/>
    <w:rsid w:val="00E55C59"/>
    <w:rsid w:val="00E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7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476"/>
  </w:style>
  <w:style w:type="paragraph" w:styleId="Footer">
    <w:name w:val="footer"/>
    <w:basedOn w:val="Normal"/>
    <w:link w:val="FooterChar"/>
    <w:uiPriority w:val="99"/>
    <w:semiHidden/>
    <w:unhideWhenUsed/>
    <w:rsid w:val="0060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476"/>
  </w:style>
  <w:style w:type="table" w:styleId="TableGrid">
    <w:name w:val="Table Grid"/>
    <w:basedOn w:val="TableNormal"/>
    <w:uiPriority w:val="59"/>
    <w:rsid w:val="006074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7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476"/>
  </w:style>
  <w:style w:type="paragraph" w:styleId="Footer">
    <w:name w:val="footer"/>
    <w:basedOn w:val="Normal"/>
    <w:link w:val="FooterChar"/>
    <w:uiPriority w:val="99"/>
    <w:semiHidden/>
    <w:unhideWhenUsed/>
    <w:rsid w:val="0060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476"/>
  </w:style>
  <w:style w:type="table" w:styleId="TableGrid">
    <w:name w:val="Table Grid"/>
    <w:basedOn w:val="TableNormal"/>
    <w:uiPriority w:val="59"/>
    <w:rsid w:val="0060747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Agon Halabaku</dc:creator>
  <cp:keywords/>
  <dc:description/>
  <cp:lastModifiedBy>Agon Halabaku</cp:lastModifiedBy>
  <cp:revision>7</cp:revision>
  <dcterms:created xsi:type="dcterms:W3CDTF">2024-04-15T12:44:00Z</dcterms:created>
  <dcterms:modified xsi:type="dcterms:W3CDTF">2024-04-16T08:47:00Z</dcterms:modified>
</cp:coreProperties>
</file>