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20B32" w14:paraId="4E58737E" w14:textId="77777777" w:rsidTr="00620B32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7E2AECA" w14:textId="3506F78A" w:rsidR="00620B32" w:rsidRDefault="00620B32" w:rsidP="00620B3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264DC68" wp14:editId="62684B52">
                  <wp:extent cx="828000" cy="930155"/>
                  <wp:effectExtent l="0" t="0" r="0" b="3810"/>
                  <wp:docPr id="5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B32" w14:paraId="6D2B6985" w14:textId="77777777" w:rsidTr="00620B32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2538935" w14:textId="77777777" w:rsidR="00620B32" w:rsidRPr="00121BE2" w:rsidRDefault="00620B32" w:rsidP="00620B3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121BE2">
              <w:rPr>
                <w:rFonts w:ascii="Times New Roman" w:hAnsi="Times New Roman"/>
                <w:b/>
              </w:rPr>
              <w:t>REPUBLIKA E KOSOVËS</w:t>
            </w:r>
          </w:p>
          <w:p w14:paraId="49C38753" w14:textId="77777777" w:rsidR="00620B32" w:rsidRPr="00121BE2" w:rsidRDefault="00620B32" w:rsidP="00620B32">
            <w:pPr>
              <w:spacing w:after="120"/>
              <w:jc w:val="center"/>
              <w:rPr>
                <w:rFonts w:ascii="Times New Roman" w:hAnsi="Times New Roman"/>
              </w:rPr>
            </w:pPr>
            <w:r w:rsidRPr="00121BE2">
              <w:rPr>
                <w:rFonts w:ascii="Times New Roman" w:hAnsi="Times New Roman"/>
              </w:rPr>
              <w:t>REPUBLIKA KOSOVA – REPUBLIC OF KOSOVO</w:t>
            </w:r>
          </w:p>
        </w:tc>
      </w:tr>
      <w:tr w:rsidR="00620B32" w14:paraId="4F742C1E" w14:textId="77777777" w:rsidTr="00620B32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357C0283" w14:textId="77777777" w:rsidR="00620B32" w:rsidRPr="00121BE2" w:rsidRDefault="00620B32" w:rsidP="00620B3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121BE2">
              <w:rPr>
                <w:rFonts w:ascii="Times New Roman" w:hAnsi="Times New Roman"/>
                <w:b/>
              </w:rPr>
              <w:t>KËSHILLI GJYQËSOR I KOSOVËS</w:t>
            </w:r>
          </w:p>
          <w:p w14:paraId="71792458" w14:textId="77777777" w:rsidR="00620B32" w:rsidRPr="00121BE2" w:rsidRDefault="00620B32" w:rsidP="00620B32">
            <w:pPr>
              <w:spacing w:after="120"/>
              <w:jc w:val="center"/>
              <w:rPr>
                <w:rFonts w:ascii="Times New Roman" w:hAnsi="Times New Roman"/>
              </w:rPr>
            </w:pPr>
            <w:r w:rsidRPr="00121BE2">
              <w:rPr>
                <w:rFonts w:ascii="Times New Roman" w:hAnsi="Times New Roman"/>
              </w:rPr>
              <w:t>SUDSKI SAVET KOSOVA - KOSOVO JUDICIAL COUNCIL</w:t>
            </w:r>
          </w:p>
        </w:tc>
      </w:tr>
    </w:tbl>
    <w:p w14:paraId="36C9A82B" w14:textId="77777777" w:rsidR="00312A07" w:rsidRDefault="00312A07" w:rsidP="00620B32">
      <w:pPr>
        <w:jc w:val="both"/>
        <w:rPr>
          <w:rFonts w:ascii="Sylfaen" w:eastAsia="Times New Roman" w:hAnsi="Sylfaen"/>
          <w:sz w:val="24"/>
          <w:szCs w:val="24"/>
        </w:rPr>
      </w:pPr>
    </w:p>
    <w:p w14:paraId="36CD6752" w14:textId="41A23BAF" w:rsidR="00620B32" w:rsidRPr="00312A07" w:rsidRDefault="00A66951" w:rsidP="00620B32">
      <w:pPr>
        <w:jc w:val="both"/>
        <w:rPr>
          <w:rFonts w:ascii="Sylfaen" w:eastAsia="Times New Roman" w:hAnsi="Sylfaen"/>
          <w:b/>
          <w:sz w:val="24"/>
          <w:szCs w:val="24"/>
        </w:rPr>
      </w:pPr>
      <w:r>
        <w:rPr>
          <w:rFonts w:ascii="Sylfaen" w:eastAsia="Times New Roman" w:hAnsi="Sylfaen"/>
          <w:b/>
          <w:sz w:val="24"/>
          <w:szCs w:val="24"/>
        </w:rPr>
        <w:t>Sudski savet Kosova</w:t>
      </w:r>
      <w:r w:rsidR="00312A07" w:rsidRPr="00312A07">
        <w:rPr>
          <w:rFonts w:ascii="Sylfaen" w:eastAsia="Times New Roman" w:hAnsi="Sylfaen"/>
          <w:b/>
          <w:sz w:val="24"/>
          <w:szCs w:val="24"/>
        </w:rPr>
        <w:t xml:space="preserve">, </w:t>
      </w:r>
    </w:p>
    <w:p w14:paraId="14A03D27" w14:textId="77777777" w:rsidR="00312A07" w:rsidRPr="00FB0DAF" w:rsidRDefault="00312A07" w:rsidP="00620B32">
      <w:pPr>
        <w:jc w:val="both"/>
        <w:rPr>
          <w:rFonts w:ascii="Sylfaen" w:eastAsia="Times New Roman" w:hAnsi="Sylfaen"/>
          <w:sz w:val="24"/>
          <w:szCs w:val="24"/>
        </w:rPr>
      </w:pPr>
    </w:p>
    <w:p w14:paraId="2AA3C654" w14:textId="3183DD36" w:rsidR="00A66951" w:rsidRDefault="00A66951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66951">
        <w:rPr>
          <w:rFonts w:ascii="Times New Roman" w:eastAsia="Times New Roman" w:hAnsi="Times New Roman"/>
          <w:sz w:val="24"/>
          <w:szCs w:val="24"/>
        </w:rPr>
        <w:t xml:space="preserve">Sudski savet Kosova, na osnovu člana 108. tačka 5. Ustava Republike Kosovo i člana 7. stav 1.24. Zakona br. 06/L-055 </w:t>
      </w:r>
      <w:r>
        <w:rPr>
          <w:rFonts w:ascii="Times New Roman" w:eastAsia="Times New Roman" w:hAnsi="Times New Roman"/>
          <w:sz w:val="24"/>
          <w:szCs w:val="24"/>
        </w:rPr>
        <w:t>o Sudskom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savet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Kosova, u cilju </w:t>
      </w:r>
      <w:r>
        <w:rPr>
          <w:rFonts w:ascii="Times New Roman" w:eastAsia="Times New Roman" w:hAnsi="Times New Roman"/>
          <w:sz w:val="24"/>
          <w:szCs w:val="24"/>
        </w:rPr>
        <w:t>ujednčavanja sudskih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taksi, na </w:t>
      </w:r>
      <w:r>
        <w:rPr>
          <w:rFonts w:ascii="Times New Roman" w:eastAsia="Times New Roman" w:hAnsi="Times New Roman"/>
          <w:sz w:val="24"/>
          <w:szCs w:val="24"/>
        </w:rPr>
        <w:t>sastanku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održano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xx.x.</w:t>
      </w:r>
      <w:r w:rsidRPr="00A66951">
        <w:rPr>
          <w:rFonts w:ascii="Times New Roman" w:eastAsia="Times New Roman" w:hAnsi="Times New Roman"/>
          <w:sz w:val="24"/>
          <w:szCs w:val="24"/>
        </w:rPr>
        <w:t>2024.</w:t>
      </w:r>
    </w:p>
    <w:p w14:paraId="5ED04397" w14:textId="77777777" w:rsid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1018843" w14:textId="036B7BC1" w:rsidR="00587558" w:rsidRPr="00180BBC" w:rsidRDefault="00A66951" w:rsidP="00312A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Usvaja</w:t>
      </w:r>
      <w:r w:rsidR="00877C30" w:rsidRPr="00180BBC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BB224DE" w14:textId="3F967669" w:rsid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A49684C" w14:textId="77777777" w:rsidR="00312A07" w:rsidRP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2D53327" w14:textId="34698518" w:rsidR="00C56688" w:rsidRDefault="00A66951" w:rsidP="005F4162">
      <w:pPr>
        <w:ind w:left="-9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ADMINISTRATIVNO UPUTSTVO BR.</w:t>
      </w:r>
      <w:r w:rsidR="00312A07">
        <w:rPr>
          <w:rFonts w:ascii="Times New Roman" w:eastAsia="Times New Roman" w:hAnsi="Times New Roman"/>
          <w:b/>
          <w:sz w:val="26"/>
          <w:szCs w:val="26"/>
        </w:rPr>
        <w:t>xx/2024</w:t>
      </w:r>
      <w:r w:rsidR="00FB0DAF" w:rsidRPr="00014E5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O UJEDN</w:t>
      </w:r>
      <w:r w:rsidR="000D5185">
        <w:rPr>
          <w:rFonts w:ascii="Times New Roman" w:eastAsia="Times New Roman" w:hAnsi="Times New Roman"/>
          <w:b/>
          <w:sz w:val="26"/>
          <w:szCs w:val="26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</w:rPr>
        <w:t>ČAVANJU SUDSKIH TAKSI</w:t>
      </w:r>
    </w:p>
    <w:p w14:paraId="303D7E5D" w14:textId="77777777" w:rsidR="00A66951" w:rsidRPr="00014E56" w:rsidRDefault="00A66951" w:rsidP="005F4162">
      <w:pPr>
        <w:ind w:left="-9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6530E4A" w14:textId="77777777" w:rsidR="00312A07" w:rsidRPr="00014E56" w:rsidRDefault="00312A07" w:rsidP="00121BE2">
      <w:pPr>
        <w:spacing w:after="36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4FF3704" w14:textId="6A830405" w:rsidR="00C56688" w:rsidRPr="00014E56" w:rsidRDefault="00944790" w:rsidP="00944790">
      <w:pPr>
        <w:tabs>
          <w:tab w:val="left" w:pos="720"/>
          <w:tab w:val="left" w:pos="459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="00312A07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A66951">
        <w:rPr>
          <w:rFonts w:ascii="Times New Roman" w:eastAsia="Times New Roman" w:hAnsi="Times New Roman"/>
          <w:b/>
          <w:sz w:val="24"/>
          <w:szCs w:val="24"/>
        </w:rPr>
        <w:t>Član</w:t>
      </w:r>
      <w:r w:rsidR="00C56688" w:rsidRPr="00014E56">
        <w:rPr>
          <w:rFonts w:ascii="Times New Roman" w:eastAsia="Times New Roman" w:hAnsi="Times New Roman"/>
          <w:b/>
          <w:sz w:val="24"/>
          <w:szCs w:val="24"/>
        </w:rPr>
        <w:t xml:space="preserve"> 1</w:t>
      </w:r>
    </w:p>
    <w:p w14:paraId="14A6B5DC" w14:textId="22613979" w:rsidR="00340E67" w:rsidRDefault="00312A07" w:rsidP="00312A07">
      <w:pPr>
        <w:tabs>
          <w:tab w:val="left" w:pos="360"/>
          <w:tab w:val="left" w:pos="1080"/>
          <w:tab w:val="left" w:pos="1800"/>
        </w:tabs>
        <w:spacing w:after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1F33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6695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1F3368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66951">
        <w:rPr>
          <w:rFonts w:ascii="Times New Roman" w:eastAsia="Times New Roman" w:hAnsi="Times New Roman"/>
          <w:b/>
          <w:sz w:val="24"/>
          <w:szCs w:val="24"/>
        </w:rPr>
        <w:t>Svrha</w:t>
      </w:r>
    </w:p>
    <w:p w14:paraId="66980E62" w14:textId="77777777" w:rsidR="00340E67" w:rsidRDefault="00340E67" w:rsidP="00381088">
      <w:pPr>
        <w:pStyle w:val="ListParagraph"/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449DBA38" w14:textId="77777777" w:rsidR="00A66951" w:rsidRPr="00A66951" w:rsidRDefault="00A66951" w:rsidP="00A66951">
      <w:pPr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66951">
        <w:rPr>
          <w:rFonts w:ascii="Times New Roman" w:eastAsia="Times New Roman" w:hAnsi="Times New Roman"/>
          <w:sz w:val="24"/>
          <w:szCs w:val="24"/>
        </w:rPr>
        <w:t>1. Ovim administrativnim uputstvom određuju se sudske takse i način njihovog plaćanja u postupcima koji se vode u sudovima Republike Kosovo.</w:t>
      </w:r>
    </w:p>
    <w:p w14:paraId="71FDC804" w14:textId="77777777" w:rsidR="00A66951" w:rsidRPr="00A66951" w:rsidRDefault="00A66951" w:rsidP="00A66951">
      <w:pPr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2AC82782" w14:textId="3C4794C7" w:rsidR="00A66951" w:rsidRPr="00381088" w:rsidRDefault="00A66951" w:rsidP="00A66951">
      <w:pPr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66951">
        <w:rPr>
          <w:rFonts w:ascii="Times New Roman" w:eastAsia="Times New Roman" w:hAnsi="Times New Roman"/>
          <w:sz w:val="24"/>
          <w:szCs w:val="24"/>
        </w:rPr>
        <w:t xml:space="preserve">2. Način plaćanja </w:t>
      </w:r>
      <w:r>
        <w:rPr>
          <w:rFonts w:ascii="Times New Roman" w:eastAsia="Times New Roman" w:hAnsi="Times New Roman"/>
          <w:sz w:val="24"/>
          <w:szCs w:val="24"/>
        </w:rPr>
        <w:t>taksi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i iznos </w:t>
      </w:r>
      <w:r>
        <w:rPr>
          <w:rFonts w:ascii="Times New Roman" w:eastAsia="Times New Roman" w:hAnsi="Times New Roman"/>
          <w:sz w:val="24"/>
          <w:szCs w:val="24"/>
        </w:rPr>
        <w:t>taksi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za podneske određuju se </w:t>
      </w:r>
      <w:r>
        <w:rPr>
          <w:rFonts w:ascii="Times New Roman" w:eastAsia="Times New Roman" w:hAnsi="Times New Roman"/>
          <w:sz w:val="24"/>
          <w:szCs w:val="24"/>
        </w:rPr>
        <w:t>taksenom tarifom</w:t>
      </w:r>
      <w:r w:rsidRPr="00A66951">
        <w:rPr>
          <w:rFonts w:ascii="Times New Roman" w:eastAsia="Times New Roman" w:hAnsi="Times New Roman"/>
          <w:sz w:val="24"/>
          <w:szCs w:val="24"/>
        </w:rPr>
        <w:t xml:space="preserve"> u skladu sa ovim administrativnim uputstvom.</w:t>
      </w:r>
    </w:p>
    <w:p w14:paraId="5A6A7EA0" w14:textId="3D32F065" w:rsidR="00944790" w:rsidRDefault="00944790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6EA48D" w14:textId="77777777" w:rsidR="003709C2" w:rsidRDefault="003709C2" w:rsidP="003709C2">
      <w:pPr>
        <w:rPr>
          <w:rFonts w:ascii="Times New Roman" w:eastAsia="Times New Roman" w:hAnsi="Times New Roman"/>
          <w:b/>
          <w:sz w:val="24"/>
          <w:szCs w:val="24"/>
        </w:rPr>
      </w:pPr>
    </w:p>
    <w:p w14:paraId="52777064" w14:textId="7E2343FD" w:rsidR="00C56688" w:rsidRPr="00121BE2" w:rsidRDefault="00A66951" w:rsidP="003709C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b/>
          <w:sz w:val="24"/>
          <w:szCs w:val="24"/>
        </w:rPr>
        <w:t>2</w:t>
      </w:r>
    </w:p>
    <w:p w14:paraId="64771199" w14:textId="52E0A5D6" w:rsidR="00180BBC" w:rsidRDefault="00944790" w:rsidP="00180BBC">
      <w:pPr>
        <w:tabs>
          <w:tab w:val="left" w:pos="360"/>
        </w:tabs>
        <w:spacing w:after="2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66951">
        <w:rPr>
          <w:rFonts w:ascii="Times New Roman" w:eastAsia="Times New Roman" w:hAnsi="Times New Roman"/>
          <w:b/>
          <w:sz w:val="24"/>
          <w:szCs w:val="24"/>
        </w:rPr>
        <w:t>Definicije</w:t>
      </w:r>
    </w:p>
    <w:p w14:paraId="5DE575D5" w14:textId="2D7ED893" w:rsidR="006B1026" w:rsidRDefault="00180BBC" w:rsidP="009B3952">
      <w:pPr>
        <w:tabs>
          <w:tab w:val="left" w:pos="360"/>
        </w:tabs>
        <w:rPr>
          <w:rFonts w:ascii="Times New Roman" w:eastAsia="Times New Roman" w:hAnsi="Times New Roman"/>
          <w:bCs/>
          <w:sz w:val="24"/>
          <w:szCs w:val="24"/>
        </w:rPr>
      </w:pPr>
      <w:r w:rsidRPr="00180BB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66951" w:rsidRPr="00A66951">
        <w:rPr>
          <w:rFonts w:ascii="Times New Roman" w:eastAsia="Times New Roman" w:hAnsi="Times New Roman"/>
          <w:bCs/>
          <w:sz w:val="24"/>
          <w:szCs w:val="24"/>
        </w:rPr>
        <w:t xml:space="preserve">Izrazi </w:t>
      </w:r>
      <w:r w:rsidR="00A66951">
        <w:rPr>
          <w:rFonts w:ascii="Times New Roman" w:eastAsia="Times New Roman" w:hAnsi="Times New Roman"/>
          <w:bCs/>
          <w:sz w:val="24"/>
          <w:szCs w:val="24"/>
        </w:rPr>
        <w:t>korišćeni</w:t>
      </w:r>
      <w:r w:rsidR="00A66951" w:rsidRPr="00A66951">
        <w:rPr>
          <w:rFonts w:ascii="Times New Roman" w:eastAsia="Times New Roman" w:hAnsi="Times New Roman"/>
          <w:bCs/>
          <w:sz w:val="24"/>
          <w:szCs w:val="24"/>
        </w:rPr>
        <w:t xml:space="preserve"> u ovom uputstvu imaju sledeće značenje:</w:t>
      </w:r>
    </w:p>
    <w:p w14:paraId="432012BA" w14:textId="77777777" w:rsidR="009B3952" w:rsidRDefault="009B3952" w:rsidP="009B3952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</w:rPr>
      </w:pPr>
    </w:p>
    <w:p w14:paraId="39AB1E37" w14:textId="06281986" w:rsidR="00A66951" w:rsidRDefault="00F36434" w:rsidP="00F36434">
      <w:pPr>
        <w:pStyle w:val="pf0"/>
        <w:spacing w:before="0" w:beforeAutospacing="0" w:after="10" w:afterAutospacing="0"/>
        <w:ind w:left="806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1.1. </w:t>
      </w:r>
      <w:r w:rsidR="00A66951">
        <w:rPr>
          <w:rStyle w:val="cf01"/>
          <w:rFonts w:ascii="Times New Roman" w:hAnsi="Times New Roman" w:cs="Times New Roman"/>
          <w:b/>
          <w:bCs/>
          <w:sz w:val="24"/>
          <w:szCs w:val="24"/>
        </w:rPr>
        <w:t>Savet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 xml:space="preserve"> –</w:t>
      </w:r>
      <w:r w:rsidR="002B4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F06DB0">
        <w:rPr>
          <w:rStyle w:val="cf01"/>
          <w:rFonts w:ascii="Times New Roman" w:hAnsi="Times New Roman" w:cs="Times New Roman"/>
          <w:sz w:val="24"/>
          <w:szCs w:val="24"/>
        </w:rPr>
        <w:t>Sudski savet Kosova, kako je</w:t>
      </w:r>
      <w:r w:rsidR="00A66951">
        <w:rPr>
          <w:rStyle w:val="cf01"/>
          <w:rFonts w:ascii="Times New Roman" w:hAnsi="Times New Roman" w:cs="Times New Roman"/>
          <w:sz w:val="24"/>
          <w:szCs w:val="24"/>
        </w:rPr>
        <w:t xml:space="preserve"> predviđeno</w:t>
      </w:r>
      <w:r w:rsidR="00A66951" w:rsidRPr="00A66951">
        <w:rPr>
          <w:rStyle w:val="cf01"/>
          <w:rFonts w:ascii="Times New Roman" w:hAnsi="Times New Roman" w:cs="Times New Roman"/>
          <w:sz w:val="24"/>
          <w:szCs w:val="24"/>
        </w:rPr>
        <w:t xml:space="preserve"> Zakonom o Sudskom savetu Kosova;</w:t>
      </w:r>
    </w:p>
    <w:p w14:paraId="399FAE5F" w14:textId="77777777" w:rsidR="00A66951" w:rsidRDefault="00F36434" w:rsidP="00F36434">
      <w:pPr>
        <w:tabs>
          <w:tab w:val="left" w:pos="360"/>
        </w:tabs>
        <w:spacing w:after="10"/>
        <w:ind w:left="8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="00A66951">
        <w:rPr>
          <w:rFonts w:ascii="Times New Roman" w:eastAsia="Times New Roman" w:hAnsi="Times New Roman"/>
          <w:b/>
          <w:bCs/>
          <w:sz w:val="24"/>
          <w:szCs w:val="24"/>
        </w:rPr>
        <w:t>SSSK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-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  <w:r w:rsidR="00A66951" w:rsidRPr="00A66951">
        <w:rPr>
          <w:rFonts w:ascii="Times New Roman" w:eastAsia="Times New Roman" w:hAnsi="Times New Roman"/>
          <w:sz w:val="24"/>
          <w:szCs w:val="24"/>
        </w:rPr>
        <w:t>Sekretarijat Sudskog saveta Kosova, kako je predviđeno zakonom o Sudskom savetu Kosova;</w:t>
      </w:r>
    </w:p>
    <w:p w14:paraId="1A6F352B" w14:textId="77777777" w:rsidR="00F06DB0" w:rsidRDefault="00F36434" w:rsidP="00F06DB0">
      <w:pPr>
        <w:tabs>
          <w:tab w:val="left" w:pos="630"/>
        </w:tabs>
        <w:spacing w:after="10"/>
        <w:ind w:left="8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1.3. </w:t>
      </w:r>
      <w:r w:rsidR="00A66951">
        <w:rPr>
          <w:rFonts w:ascii="Times New Roman" w:eastAsia="Times New Roman" w:hAnsi="Times New Roman"/>
          <w:b/>
          <w:bCs/>
          <w:sz w:val="24"/>
          <w:szCs w:val="24"/>
        </w:rPr>
        <w:t>Sud</w:t>
      </w:r>
      <w:r w:rsidR="001E76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03FA2" w:rsidRPr="00F36434">
        <w:rPr>
          <w:rFonts w:ascii="Times New Roman" w:eastAsia="Times New Roman" w:hAnsi="Times New Roman"/>
          <w:sz w:val="24"/>
          <w:szCs w:val="24"/>
        </w:rPr>
        <w:t>–</w:t>
      </w:r>
      <w:r w:rsidR="001E76D3">
        <w:rPr>
          <w:rFonts w:ascii="Times New Roman" w:eastAsia="Times New Roman" w:hAnsi="Times New Roman"/>
          <w:sz w:val="24"/>
          <w:szCs w:val="24"/>
        </w:rPr>
        <w:t xml:space="preserve"> </w:t>
      </w:r>
      <w:r w:rsidR="00F06DB0" w:rsidRPr="00F06DB0">
        <w:rPr>
          <w:rFonts w:ascii="Times New Roman" w:eastAsia="Times New Roman" w:hAnsi="Times New Roman"/>
          <w:sz w:val="24"/>
          <w:szCs w:val="24"/>
        </w:rPr>
        <w:t>svi sudovi u Republici Kosovo, kako je predviđeno Zakonom o sudovima i relevantnim zakonima u skladu sa zakonodavstvom na snazi;</w:t>
      </w:r>
    </w:p>
    <w:p w14:paraId="2FD85FDB" w14:textId="173BC1BD" w:rsidR="00F06DB0" w:rsidRDefault="00F36434" w:rsidP="00EA78B8">
      <w:pPr>
        <w:tabs>
          <w:tab w:val="left" w:pos="630"/>
        </w:tabs>
        <w:spacing w:after="10"/>
        <w:ind w:left="8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r w:rsidR="00F06DB0" w:rsidRPr="00F06DB0">
        <w:rPr>
          <w:rFonts w:ascii="Times New Roman" w:eastAsia="Times New Roman" w:hAnsi="Times New Roman"/>
          <w:b/>
          <w:sz w:val="24"/>
          <w:szCs w:val="24"/>
        </w:rPr>
        <w:t>CSKERK</w:t>
      </w:r>
      <w:r w:rsidR="00F06DB0" w:rsidRPr="00F06DB0">
        <w:rPr>
          <w:rFonts w:ascii="Times New Roman" w:eastAsia="Times New Roman" w:hAnsi="Times New Roman"/>
          <w:sz w:val="24"/>
          <w:szCs w:val="24"/>
        </w:rPr>
        <w:t xml:space="preserve"> – Centralni sistem </w:t>
      </w:r>
      <w:r w:rsidR="00F06DB0">
        <w:rPr>
          <w:rFonts w:ascii="Times New Roman" w:eastAsia="Times New Roman" w:hAnsi="Times New Roman"/>
          <w:sz w:val="24"/>
          <w:szCs w:val="24"/>
        </w:rPr>
        <w:t>kaznene evidencije</w:t>
      </w:r>
      <w:r w:rsidR="00F06DB0" w:rsidRPr="00F06DB0">
        <w:rPr>
          <w:rFonts w:ascii="Times New Roman" w:eastAsia="Times New Roman" w:hAnsi="Times New Roman"/>
          <w:sz w:val="24"/>
          <w:szCs w:val="24"/>
        </w:rPr>
        <w:t xml:space="preserve"> Republike Kosovo, kao jedinstvena hijerarhijska struktura u okviru Sudskog saveta Kosova, koja upravlja centralnom bazom podataka osuđenih lica, kako je </w:t>
      </w:r>
      <w:r w:rsidR="00F06DB0">
        <w:rPr>
          <w:rFonts w:ascii="Times New Roman" w:eastAsia="Times New Roman" w:hAnsi="Times New Roman"/>
          <w:sz w:val="24"/>
          <w:szCs w:val="24"/>
        </w:rPr>
        <w:t>utvrđeno</w:t>
      </w:r>
      <w:r w:rsidR="00F06DB0" w:rsidRPr="00F06DB0">
        <w:rPr>
          <w:rFonts w:ascii="Times New Roman" w:eastAsia="Times New Roman" w:hAnsi="Times New Roman"/>
          <w:sz w:val="24"/>
          <w:szCs w:val="24"/>
        </w:rPr>
        <w:t xml:space="preserve"> važećim zakonodavstvom;</w:t>
      </w:r>
    </w:p>
    <w:p w14:paraId="166CA58D" w14:textId="1803D46B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</w:t>
      </w:r>
      <w:r w:rsidR="00A66951">
        <w:rPr>
          <w:rFonts w:ascii="Times New Roman" w:eastAsia="Times New Roman" w:hAnsi="Times New Roman"/>
          <w:b/>
          <w:bCs/>
          <w:sz w:val="24"/>
          <w:szCs w:val="24"/>
        </w:rPr>
        <w:t>taksa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F06DB0">
        <w:rPr>
          <w:rFonts w:ascii="Times New Roman" w:eastAsia="Times New Roman" w:hAnsi="Times New Roman"/>
          <w:sz w:val="24"/>
          <w:szCs w:val="24"/>
        </w:rPr>
        <w:t xml:space="preserve">svaka taksa utvrđena </w:t>
      </w:r>
      <w:r w:rsidR="00F06DB0" w:rsidRPr="00F06DB0">
        <w:rPr>
          <w:rFonts w:ascii="Times New Roman" w:eastAsia="Times New Roman" w:hAnsi="Times New Roman"/>
          <w:sz w:val="24"/>
          <w:szCs w:val="24"/>
        </w:rPr>
        <w:t>u ovom uputstvu;</w:t>
      </w:r>
    </w:p>
    <w:p w14:paraId="1FC315ED" w14:textId="56C336DD" w:rsidR="00EA78B8" w:rsidRDefault="00F36434" w:rsidP="00EA78B8">
      <w:pPr>
        <w:tabs>
          <w:tab w:val="left" w:pos="630"/>
        </w:tabs>
        <w:spacing w:after="10"/>
        <w:ind w:left="8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</w:t>
      </w:r>
      <w:r w:rsidR="00A66951">
        <w:rPr>
          <w:rFonts w:ascii="Times New Roman" w:eastAsia="Times New Roman" w:hAnsi="Times New Roman"/>
          <w:b/>
          <w:bCs/>
          <w:sz w:val="24"/>
          <w:szCs w:val="24"/>
        </w:rPr>
        <w:t>stranka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–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EA78B8" w:rsidRPr="00EA78B8">
        <w:rPr>
          <w:rFonts w:ascii="Times New Roman" w:eastAsia="Times New Roman" w:hAnsi="Times New Roman"/>
          <w:sz w:val="24"/>
          <w:szCs w:val="24"/>
        </w:rPr>
        <w:t xml:space="preserve">svako fizičko i pravno lice ili drugi subjekt </w:t>
      </w:r>
      <w:r w:rsidR="00482324">
        <w:rPr>
          <w:rFonts w:ascii="Times New Roman" w:eastAsia="Times New Roman" w:hAnsi="Times New Roman"/>
          <w:sz w:val="24"/>
          <w:szCs w:val="24"/>
        </w:rPr>
        <w:t xml:space="preserve">kome </w:t>
      </w:r>
      <w:r w:rsidR="00EA78B8" w:rsidRPr="00EA78B8">
        <w:rPr>
          <w:rFonts w:ascii="Times New Roman" w:eastAsia="Times New Roman" w:hAnsi="Times New Roman"/>
          <w:sz w:val="24"/>
          <w:szCs w:val="24"/>
        </w:rPr>
        <w:t xml:space="preserve">posebnim odredbama važećeg zakonodavstva </w:t>
      </w:r>
      <w:r w:rsidR="00482324">
        <w:rPr>
          <w:rFonts w:ascii="Times New Roman" w:eastAsia="Times New Roman" w:hAnsi="Times New Roman"/>
          <w:sz w:val="24"/>
          <w:szCs w:val="24"/>
        </w:rPr>
        <w:t>priznato svojstvo stranke</w:t>
      </w:r>
      <w:r w:rsidR="00EA78B8" w:rsidRPr="00EA78B8">
        <w:rPr>
          <w:rFonts w:ascii="Times New Roman" w:eastAsia="Times New Roman" w:hAnsi="Times New Roman"/>
          <w:sz w:val="24"/>
          <w:szCs w:val="24"/>
        </w:rPr>
        <w:t xml:space="preserve"> u postupku i ima interes u određenom predmetu koji se vodi </w:t>
      </w:r>
      <w:r w:rsidR="00482324">
        <w:rPr>
          <w:rFonts w:ascii="Times New Roman" w:eastAsia="Times New Roman" w:hAnsi="Times New Roman"/>
          <w:sz w:val="24"/>
          <w:szCs w:val="24"/>
        </w:rPr>
        <w:t>pred sudom</w:t>
      </w:r>
      <w:r w:rsidR="00EA78B8" w:rsidRPr="00EA78B8">
        <w:rPr>
          <w:rFonts w:ascii="Times New Roman" w:eastAsia="Times New Roman" w:hAnsi="Times New Roman"/>
          <w:sz w:val="24"/>
          <w:szCs w:val="24"/>
        </w:rPr>
        <w:t>;</w:t>
      </w:r>
    </w:p>
    <w:p w14:paraId="01A086F4" w14:textId="42186461" w:rsidR="00482324" w:rsidRDefault="00F36434" w:rsidP="00482324">
      <w:pPr>
        <w:tabs>
          <w:tab w:val="left" w:pos="630"/>
        </w:tabs>
        <w:spacing w:after="10"/>
        <w:ind w:left="8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1.7. </w:t>
      </w:r>
      <w:r w:rsidR="00A66951">
        <w:rPr>
          <w:rFonts w:ascii="Times New Roman" w:eastAsia="Times New Roman" w:hAnsi="Times New Roman"/>
          <w:b/>
          <w:bCs/>
          <w:sz w:val="24"/>
          <w:szCs w:val="24"/>
        </w:rPr>
        <w:t>podnesak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tužba, protivtužba, predlog, zahtev, redovna i vanredna sredstva </w:t>
      </w:r>
      <w:r w:rsidR="00482324">
        <w:rPr>
          <w:rFonts w:ascii="Times New Roman" w:eastAsia="Times New Roman" w:hAnsi="Times New Roman"/>
          <w:sz w:val="24"/>
          <w:szCs w:val="24"/>
        </w:rPr>
        <w:t>pobijanja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 i drugi podnesci predviđeni ovim administrativnim uputstvom i </w:t>
      </w:r>
      <w:r w:rsidR="00482324">
        <w:rPr>
          <w:rFonts w:ascii="Times New Roman" w:eastAsia="Times New Roman" w:hAnsi="Times New Roman"/>
          <w:sz w:val="24"/>
          <w:szCs w:val="24"/>
        </w:rPr>
        <w:t>zakonodavstvom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 na snazi; </w:t>
      </w:r>
    </w:p>
    <w:p w14:paraId="0491AE93" w14:textId="65BD58E8" w:rsidR="0048232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1.8.</w:t>
      </w:r>
      <w:r w:rsidRPr="001A7C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6951">
        <w:rPr>
          <w:rFonts w:ascii="Times New Roman" w:eastAsia="Times New Roman" w:hAnsi="Times New Roman"/>
          <w:b/>
          <w:bCs/>
          <w:sz w:val="24"/>
          <w:szCs w:val="24"/>
        </w:rPr>
        <w:t>odluka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presuda ili rešenje </w:t>
      </w:r>
      <w:r w:rsidR="00482324">
        <w:rPr>
          <w:rFonts w:ascii="Times New Roman" w:eastAsia="Times New Roman" w:hAnsi="Times New Roman"/>
          <w:sz w:val="24"/>
          <w:szCs w:val="24"/>
        </w:rPr>
        <w:t xml:space="preserve">doneto od strane 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nadležnog suda; </w:t>
      </w:r>
    </w:p>
    <w:p w14:paraId="79D6D414" w14:textId="6BB4B571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1.9. </w:t>
      </w:r>
      <w:r w:rsidR="00482324">
        <w:rPr>
          <w:rFonts w:ascii="Times New Roman" w:eastAsia="Times New Roman" w:hAnsi="Times New Roman"/>
          <w:b/>
          <w:bCs/>
          <w:sz w:val="24"/>
          <w:szCs w:val="24"/>
        </w:rPr>
        <w:t>TST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482324">
        <w:rPr>
          <w:rFonts w:ascii="Times New Roman" w:eastAsia="Times New Roman" w:hAnsi="Times New Roman"/>
          <w:sz w:val="24"/>
          <w:szCs w:val="24"/>
        </w:rPr>
        <w:t>–</w:t>
      </w:r>
      <w:r w:rsidR="0014556A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482324">
        <w:rPr>
          <w:rFonts w:ascii="Times New Roman" w:eastAsia="Times New Roman" w:hAnsi="Times New Roman"/>
          <w:sz w:val="24"/>
          <w:szCs w:val="24"/>
        </w:rPr>
        <w:t>tarifa za sudske taske</w:t>
      </w:r>
      <w:r w:rsidR="00D00051">
        <w:rPr>
          <w:rFonts w:ascii="Times New Roman" w:eastAsia="Times New Roman" w:hAnsi="Times New Roman"/>
          <w:sz w:val="24"/>
          <w:szCs w:val="24"/>
        </w:rPr>
        <w:t>.</w:t>
      </w:r>
    </w:p>
    <w:p w14:paraId="7646B365" w14:textId="77777777" w:rsidR="001E1233" w:rsidRPr="001E1233" w:rsidRDefault="001E1233" w:rsidP="00615FA3">
      <w:pPr>
        <w:pStyle w:val="ListParagraph"/>
        <w:tabs>
          <w:tab w:val="left" w:pos="360"/>
        </w:tabs>
        <w:ind w:left="792"/>
        <w:rPr>
          <w:rFonts w:ascii="Times New Roman" w:eastAsia="Times New Roman" w:hAnsi="Times New Roman"/>
          <w:bCs/>
          <w:sz w:val="24"/>
          <w:szCs w:val="24"/>
        </w:rPr>
      </w:pPr>
    </w:p>
    <w:p w14:paraId="7F7DD3C8" w14:textId="19329406" w:rsidR="00A66951" w:rsidRDefault="00180BBC" w:rsidP="007532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A66951" w:rsidRPr="00A66951">
        <w:rPr>
          <w:rFonts w:ascii="Times New Roman" w:eastAsia="Times New Roman" w:hAnsi="Times New Roman"/>
          <w:sz w:val="24"/>
          <w:szCs w:val="24"/>
        </w:rPr>
        <w:t>Izrazi koji se koriste u jednini imaju isto značenje i</w:t>
      </w:r>
      <w:r w:rsidR="00A66951">
        <w:rPr>
          <w:rFonts w:ascii="Times New Roman" w:eastAsia="Times New Roman" w:hAnsi="Times New Roman"/>
          <w:sz w:val="24"/>
          <w:szCs w:val="24"/>
        </w:rPr>
        <w:t xml:space="preserve"> </w:t>
      </w:r>
      <w:r w:rsidR="00A66951" w:rsidRPr="00A66951">
        <w:rPr>
          <w:rFonts w:ascii="Times New Roman" w:eastAsia="Times New Roman" w:hAnsi="Times New Roman"/>
          <w:sz w:val="24"/>
          <w:szCs w:val="24"/>
        </w:rPr>
        <w:t>u množini. Reči koje se koriste u jednom rodu uključuju i drugi rod.</w:t>
      </w:r>
    </w:p>
    <w:p w14:paraId="0B692776" w14:textId="77777777" w:rsidR="007501E6" w:rsidRPr="002B635E" w:rsidRDefault="007501E6" w:rsidP="007501E6">
      <w:pPr>
        <w:pStyle w:val="ListParagraph"/>
        <w:spacing w:after="2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27D98F5" w14:textId="1AB20470" w:rsidR="00C56688" w:rsidRPr="00121BE2" w:rsidRDefault="00A66951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ED4419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5EB353E1" w14:textId="4E47DF03" w:rsidR="00482324" w:rsidRDefault="00482324" w:rsidP="00180BBC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2324">
        <w:rPr>
          <w:rFonts w:ascii="Times New Roman" w:eastAsia="Times New Roman" w:hAnsi="Times New Roman"/>
          <w:b/>
          <w:sz w:val="24"/>
          <w:szCs w:val="24"/>
        </w:rPr>
        <w:t xml:space="preserve">Određivanje </w:t>
      </w:r>
      <w:r>
        <w:rPr>
          <w:rFonts w:ascii="Times New Roman" w:eastAsia="Times New Roman" w:hAnsi="Times New Roman"/>
          <w:b/>
          <w:sz w:val="24"/>
          <w:szCs w:val="24"/>
        </w:rPr>
        <w:t>taksi</w:t>
      </w:r>
      <w:r w:rsidRPr="00482324">
        <w:rPr>
          <w:rFonts w:ascii="Times New Roman" w:eastAsia="Times New Roman" w:hAnsi="Times New Roman"/>
          <w:b/>
          <w:sz w:val="24"/>
          <w:szCs w:val="24"/>
        </w:rPr>
        <w:t xml:space="preserve"> za podneske koji se odnose na građanskopravne zahteve</w:t>
      </w:r>
    </w:p>
    <w:p w14:paraId="33BF974C" w14:textId="748405F4" w:rsidR="00482324" w:rsidRDefault="00482324" w:rsidP="0039608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2324">
        <w:rPr>
          <w:rFonts w:ascii="Times New Roman" w:eastAsia="Times New Roman" w:hAnsi="Times New Roman"/>
          <w:sz w:val="24"/>
          <w:szCs w:val="24"/>
        </w:rPr>
        <w:t xml:space="preserve">Određivanje visine sudske takse koja se plaća po podnošenju </w:t>
      </w:r>
      <w:r>
        <w:rPr>
          <w:rFonts w:ascii="Times New Roman" w:eastAsia="Times New Roman" w:hAnsi="Times New Roman"/>
          <w:sz w:val="24"/>
          <w:szCs w:val="24"/>
        </w:rPr>
        <w:t>podneska</w:t>
      </w:r>
      <w:r w:rsidRPr="00482324">
        <w:rPr>
          <w:rFonts w:ascii="Times New Roman" w:eastAsia="Times New Roman" w:hAnsi="Times New Roman"/>
          <w:sz w:val="24"/>
          <w:szCs w:val="24"/>
        </w:rPr>
        <w:t xml:space="preserve"> vrši se na osnovu vrednosti spora, odnosno vrste </w:t>
      </w:r>
      <w:r>
        <w:rPr>
          <w:rFonts w:ascii="Times New Roman" w:eastAsia="Times New Roman" w:hAnsi="Times New Roman"/>
          <w:sz w:val="24"/>
          <w:szCs w:val="24"/>
        </w:rPr>
        <w:t>podneska</w:t>
      </w:r>
      <w:r w:rsidRPr="00482324">
        <w:rPr>
          <w:rFonts w:ascii="Times New Roman" w:eastAsia="Times New Roman" w:hAnsi="Times New Roman"/>
          <w:sz w:val="24"/>
          <w:szCs w:val="24"/>
        </w:rPr>
        <w:t>, prema ovom uputstvu.</w:t>
      </w:r>
    </w:p>
    <w:p w14:paraId="51FCA2DD" w14:textId="77777777" w:rsidR="00180BBC" w:rsidRPr="00F259C9" w:rsidRDefault="00180BBC" w:rsidP="003960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5AEB30" w14:textId="77777777" w:rsidR="00396087" w:rsidRDefault="00396087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271829" w14:textId="388D7785" w:rsidR="00C56688" w:rsidRPr="00121BE2" w:rsidRDefault="00A66951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b/>
          <w:sz w:val="24"/>
          <w:szCs w:val="24"/>
        </w:rPr>
        <w:t>4</w:t>
      </w:r>
    </w:p>
    <w:p w14:paraId="7A0655BC" w14:textId="3B9D2B6E" w:rsidR="00482324" w:rsidRDefault="00482324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2324">
        <w:rPr>
          <w:rFonts w:ascii="Times New Roman" w:eastAsia="Times New Roman" w:hAnsi="Times New Roman"/>
          <w:b/>
          <w:sz w:val="24"/>
          <w:szCs w:val="24"/>
        </w:rPr>
        <w:t xml:space="preserve">Način plaćanja </w:t>
      </w:r>
      <w:r>
        <w:rPr>
          <w:rFonts w:ascii="Times New Roman" w:eastAsia="Times New Roman" w:hAnsi="Times New Roman"/>
          <w:b/>
          <w:sz w:val="24"/>
          <w:szCs w:val="24"/>
        </w:rPr>
        <w:t>taksi</w:t>
      </w:r>
    </w:p>
    <w:p w14:paraId="51FD2D52" w14:textId="77777777" w:rsidR="00396087" w:rsidRPr="008E49BB" w:rsidRDefault="00396087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63D207" w14:textId="561F1147" w:rsidR="00482324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482324">
        <w:rPr>
          <w:rFonts w:ascii="Times New Roman" w:eastAsia="Times New Roman" w:hAnsi="Times New Roman"/>
          <w:sz w:val="24"/>
          <w:szCs w:val="24"/>
        </w:rPr>
        <w:t>Takse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 se obračunavaju i plaćaju u "evrima" kao valuti koja cirkuliše na Kosovu.</w:t>
      </w:r>
    </w:p>
    <w:p w14:paraId="49E70DDD" w14:textId="77777777" w:rsidR="00A450A0" w:rsidRPr="00180BBC" w:rsidRDefault="00A450A0" w:rsidP="00180BBC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C61E377" w14:textId="43F0502B" w:rsidR="00482324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482324">
        <w:rPr>
          <w:rFonts w:ascii="Times New Roman" w:eastAsia="Times New Roman" w:hAnsi="Times New Roman"/>
          <w:sz w:val="24"/>
          <w:szCs w:val="24"/>
        </w:rPr>
        <w:t>Takse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 ispod pet (5) evra plaćaju se u gotovini na blagajni suda.</w:t>
      </w:r>
    </w:p>
    <w:p w14:paraId="51762F09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2545413" w14:textId="4DEDB030" w:rsidR="00482324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482324">
        <w:rPr>
          <w:rFonts w:ascii="Times New Roman" w:eastAsia="Times New Roman" w:hAnsi="Times New Roman"/>
          <w:sz w:val="24"/>
          <w:szCs w:val="24"/>
        </w:rPr>
        <w:t>Takse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>, od pet (5) evra i više, plaćaju se u bilo kojoj komercijalnoj banci na Kosovu, na bankovni račun Saveta.</w:t>
      </w:r>
    </w:p>
    <w:p w14:paraId="6FC62A0E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8A1290F" w14:textId="7A1C1AAE" w:rsidR="00482324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Stranka je dužna da po uplati </w:t>
      </w:r>
      <w:r w:rsidR="00482324">
        <w:rPr>
          <w:rFonts w:ascii="Times New Roman" w:eastAsia="Times New Roman" w:hAnsi="Times New Roman"/>
          <w:sz w:val="24"/>
          <w:szCs w:val="24"/>
        </w:rPr>
        <w:t>takse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 predoči sudu uplatnicu kao dokaz o njenoj uplati.</w:t>
      </w:r>
    </w:p>
    <w:p w14:paraId="17158111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B3012C9" w14:textId="07DD4D91" w:rsidR="00482324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Sredstva od sudskih taksi, uplaćena u gotovini u sudovima, na kraju svakog meseca moraju biti deponovana u jednoj od </w:t>
      </w:r>
      <w:r w:rsidR="00482324">
        <w:rPr>
          <w:rFonts w:ascii="Times New Roman" w:eastAsia="Times New Roman" w:hAnsi="Times New Roman"/>
          <w:sz w:val="24"/>
          <w:szCs w:val="24"/>
        </w:rPr>
        <w:t>komercijalnih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 banaka na žiro račun Saveta.</w:t>
      </w:r>
    </w:p>
    <w:p w14:paraId="721AA4FC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DA5A4F4" w14:textId="5B12BB40" w:rsidR="00482324" w:rsidRDefault="00180BBC" w:rsidP="009F496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482324">
        <w:rPr>
          <w:rFonts w:ascii="Times New Roman" w:eastAsia="Times New Roman" w:hAnsi="Times New Roman"/>
          <w:sz w:val="24"/>
          <w:szCs w:val="24"/>
        </w:rPr>
        <w:t>Takse uplaćene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 xml:space="preserve"> na račun Saveta deponuju se u </w:t>
      </w:r>
      <w:r w:rsidR="00482324">
        <w:rPr>
          <w:rFonts w:ascii="Times New Roman" w:eastAsia="Times New Roman" w:hAnsi="Times New Roman"/>
          <w:sz w:val="24"/>
          <w:szCs w:val="24"/>
        </w:rPr>
        <w:t>b</w:t>
      </w:r>
      <w:r w:rsidR="00482324" w:rsidRPr="00482324">
        <w:rPr>
          <w:rFonts w:ascii="Times New Roman" w:eastAsia="Times New Roman" w:hAnsi="Times New Roman"/>
          <w:sz w:val="24"/>
          <w:szCs w:val="24"/>
        </w:rPr>
        <w:t>udžetu Republike Kosovo.</w:t>
      </w:r>
    </w:p>
    <w:p w14:paraId="27676C3B" w14:textId="77777777" w:rsidR="00750FD9" w:rsidRDefault="00750FD9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4BD4B9" w14:textId="59DFECE0" w:rsidR="00396087" w:rsidRDefault="00396087" w:rsidP="00396087">
      <w:pPr>
        <w:tabs>
          <w:tab w:val="left" w:pos="108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E8F2171" w14:textId="77777777" w:rsidR="00FF2736" w:rsidRDefault="00FF2736" w:rsidP="00396087">
      <w:pPr>
        <w:tabs>
          <w:tab w:val="left" w:pos="108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900845" w14:textId="77777777" w:rsidR="00750FD9" w:rsidRDefault="00750FD9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5806A9" w14:textId="726E2029" w:rsidR="00C56688" w:rsidRPr="00121BE2" w:rsidRDefault="00A66951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1630" w:rsidRPr="00121BE2">
        <w:rPr>
          <w:rFonts w:ascii="Times New Roman" w:eastAsia="Times New Roman" w:hAnsi="Times New Roman"/>
          <w:b/>
          <w:sz w:val="24"/>
          <w:szCs w:val="24"/>
        </w:rPr>
        <w:t>5</w:t>
      </w:r>
      <w:r w:rsidR="00C56688" w:rsidRPr="00121B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61C88F6" w14:textId="50447E75" w:rsidR="00D343EA" w:rsidRPr="00D343EA" w:rsidRDefault="00C56688" w:rsidP="001B68D9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43EA">
        <w:rPr>
          <w:rFonts w:ascii="Times New Roman" w:eastAsia="Times New Roman" w:hAnsi="Times New Roman"/>
          <w:b/>
          <w:sz w:val="24"/>
          <w:szCs w:val="24"/>
        </w:rPr>
        <w:tab/>
      </w:r>
      <w:r w:rsidR="00D343EA">
        <w:rPr>
          <w:rFonts w:ascii="Times New Roman" w:eastAsia="Times New Roman" w:hAnsi="Times New Roman"/>
          <w:b/>
          <w:sz w:val="24"/>
          <w:szCs w:val="24"/>
        </w:rPr>
        <w:t>Prikupljanje</w:t>
      </w:r>
      <w:r w:rsidR="00D343EA" w:rsidRPr="00D343E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43EA">
        <w:rPr>
          <w:rFonts w:ascii="Times New Roman" w:eastAsia="Times New Roman" w:hAnsi="Times New Roman"/>
          <w:b/>
          <w:sz w:val="24"/>
          <w:szCs w:val="24"/>
        </w:rPr>
        <w:t>taksi</w:t>
      </w:r>
      <w:r w:rsidR="00D343EA" w:rsidRPr="00D343EA">
        <w:rPr>
          <w:rFonts w:ascii="Times New Roman" w:eastAsia="Times New Roman" w:hAnsi="Times New Roman"/>
          <w:b/>
          <w:sz w:val="24"/>
          <w:szCs w:val="24"/>
        </w:rPr>
        <w:t xml:space="preserve"> i posledice neplaćanja</w:t>
      </w:r>
    </w:p>
    <w:p w14:paraId="378FB3A7" w14:textId="7A441B36" w:rsidR="00D343EA" w:rsidRDefault="003C0FA1" w:rsidP="00A450A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D343EA">
        <w:rPr>
          <w:rFonts w:ascii="Times New Roman" w:eastAsia="Times New Roman" w:hAnsi="Times New Roman"/>
          <w:sz w:val="24"/>
          <w:szCs w:val="24"/>
        </w:rPr>
        <w:t>Taksa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se plaća po podnošenju podneska, osim u slučajevima kada je ovim uputstvom drugačije određeno.</w:t>
      </w:r>
    </w:p>
    <w:p w14:paraId="17B9CA97" w14:textId="77777777" w:rsidR="00D40BA7" w:rsidRPr="001D7765" w:rsidRDefault="00D40BA7" w:rsidP="00D40BA7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68C891C1" w14:textId="3C532968" w:rsidR="00D343EA" w:rsidRDefault="00830C56" w:rsidP="00D343EA">
      <w:pPr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1.1. </w:t>
      </w:r>
      <w:r w:rsidR="00D343EA" w:rsidRPr="00D343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 podnošenju podnesaka, </w:t>
      </w:r>
      <w:r w:rsidR="00D343EA">
        <w:rPr>
          <w:rFonts w:ascii="Times New Roman" w:eastAsia="Times New Roman" w:hAnsi="Times New Roman"/>
          <w:color w:val="000000" w:themeColor="text1"/>
          <w:sz w:val="24"/>
          <w:szCs w:val="24"/>
        </w:rPr>
        <w:t>službenik</w:t>
      </w:r>
      <w:r w:rsidR="00D343EA" w:rsidRPr="00D343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mora unapred dostaviti stranci nalog za uplatu </w:t>
      </w:r>
      <w:r w:rsidR="00D343EA">
        <w:rPr>
          <w:rFonts w:ascii="Times New Roman" w:eastAsia="Times New Roman" w:hAnsi="Times New Roman"/>
          <w:color w:val="000000" w:themeColor="text1"/>
          <w:sz w:val="24"/>
          <w:szCs w:val="24"/>
        </w:rPr>
        <w:t>takse</w:t>
      </w:r>
      <w:r w:rsidR="00D343EA" w:rsidRPr="00D343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sa brojem </w:t>
      </w:r>
      <w:r w:rsidR="00D343EA">
        <w:rPr>
          <w:rFonts w:ascii="Times New Roman" w:eastAsia="Times New Roman" w:hAnsi="Times New Roman"/>
          <w:color w:val="000000" w:themeColor="text1"/>
          <w:sz w:val="24"/>
          <w:szCs w:val="24"/>
        </w:rPr>
        <w:t>bankovnog</w:t>
      </w:r>
      <w:r w:rsidR="00D343EA" w:rsidRPr="00D343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računa Saveta na koji se </w:t>
      </w:r>
      <w:r w:rsidR="00D343EA">
        <w:rPr>
          <w:rFonts w:ascii="Times New Roman" w:eastAsia="Times New Roman" w:hAnsi="Times New Roman"/>
          <w:color w:val="000000" w:themeColor="text1"/>
          <w:sz w:val="24"/>
          <w:szCs w:val="24"/>
        </w:rPr>
        <w:t>taksa</w:t>
      </w:r>
      <w:r w:rsidR="00D343EA" w:rsidRPr="00D343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mora uplatiti, navodeći njegov iznos prema </w:t>
      </w:r>
      <w:r w:rsidR="00D343EA">
        <w:rPr>
          <w:rFonts w:ascii="Times New Roman" w:eastAsia="Times New Roman" w:hAnsi="Times New Roman"/>
          <w:color w:val="000000" w:themeColor="text1"/>
          <w:sz w:val="24"/>
          <w:szCs w:val="24"/>
        </w:rPr>
        <w:t>TST</w:t>
      </w:r>
      <w:r w:rsidR="00D343EA" w:rsidRPr="00D343EA">
        <w:rPr>
          <w:rFonts w:ascii="Times New Roman" w:eastAsia="Times New Roman" w:hAnsi="Times New Roman"/>
          <w:color w:val="000000" w:themeColor="text1"/>
          <w:sz w:val="24"/>
          <w:szCs w:val="24"/>
        </w:rPr>
        <w:t>, zajedno uz obaveštenje da može zahtevati oslobađanje od plaćanja</w:t>
      </w:r>
      <w:r w:rsidR="00D343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takse</w:t>
      </w:r>
      <w:r w:rsidR="00D343EA" w:rsidRPr="00D343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iz razloga predviđenih važećim zakonodavstvom i ovim uputstvom.</w:t>
      </w:r>
    </w:p>
    <w:p w14:paraId="6574E0B3" w14:textId="77777777" w:rsidR="003C0FA1" w:rsidRDefault="003C0FA1" w:rsidP="00D40BA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BDA5F33" w14:textId="439DA8C7" w:rsidR="00D343EA" w:rsidRDefault="00C07CF9" w:rsidP="00A450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0BA7">
        <w:rPr>
          <w:rFonts w:ascii="Times New Roman" w:eastAsia="Times New Roman" w:hAnsi="Times New Roman"/>
          <w:sz w:val="24"/>
          <w:szCs w:val="24"/>
        </w:rPr>
        <w:t xml:space="preserve">2. 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U slučajevima kada se ove uplate ne vrše u kancelariji za prijem podnesaka, sudija ili predsednik </w:t>
      </w:r>
      <w:r w:rsidR="00D343EA">
        <w:rPr>
          <w:rFonts w:ascii="Times New Roman" w:eastAsia="Times New Roman" w:hAnsi="Times New Roman"/>
          <w:sz w:val="24"/>
          <w:szCs w:val="24"/>
        </w:rPr>
        <w:t>sudskog veća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kome je predmet dodeljen, sa posebnom napomenom nalaže plaćanje takse na način predviđen stavom 1. tačka 1.1 ovog člana uz obaveštenje o pravnim posledicama neplaćanja</w:t>
      </w:r>
      <w:r w:rsidR="00D343EA">
        <w:rPr>
          <w:rFonts w:ascii="Times New Roman" w:eastAsia="Times New Roman" w:hAnsi="Times New Roman"/>
          <w:sz w:val="24"/>
          <w:szCs w:val="24"/>
        </w:rPr>
        <w:t xml:space="preserve"> takse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>.</w:t>
      </w:r>
    </w:p>
    <w:p w14:paraId="58A3ADBF" w14:textId="77777777" w:rsidR="00D343EA" w:rsidRDefault="00D343EA" w:rsidP="00A450A0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A7F8D96" w14:textId="3CF33189" w:rsidR="00D343EA" w:rsidRDefault="00C07CF9" w:rsidP="00D40B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0BA7">
        <w:rPr>
          <w:rFonts w:ascii="Times New Roman" w:eastAsia="Times New Roman" w:hAnsi="Times New Roman"/>
          <w:sz w:val="24"/>
          <w:szCs w:val="24"/>
        </w:rPr>
        <w:t xml:space="preserve">3. 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Ako sudija kome je predmet dodeljen oceni da stranci koja mora da plati </w:t>
      </w:r>
      <w:r w:rsidR="00D343EA">
        <w:rPr>
          <w:rFonts w:ascii="Times New Roman" w:eastAsia="Times New Roman" w:hAnsi="Times New Roman"/>
          <w:sz w:val="24"/>
          <w:szCs w:val="24"/>
        </w:rPr>
        <w:t>taksu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treba </w:t>
      </w:r>
      <w:r w:rsidR="00D343EA">
        <w:rPr>
          <w:rFonts w:ascii="Times New Roman" w:eastAsia="Times New Roman" w:hAnsi="Times New Roman"/>
          <w:sz w:val="24"/>
          <w:szCs w:val="24"/>
        </w:rPr>
        <w:t>ostaviti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dodatni rok za </w:t>
      </w:r>
      <w:r w:rsidR="00D343EA">
        <w:rPr>
          <w:rFonts w:ascii="Times New Roman" w:eastAsia="Times New Roman" w:hAnsi="Times New Roman"/>
          <w:sz w:val="24"/>
          <w:szCs w:val="24"/>
        </w:rPr>
        <w:t>njenu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uplatu, mora to omogućiti u skladu sa članom 6</w:t>
      </w:r>
      <w:r w:rsidR="00D343EA">
        <w:rPr>
          <w:rFonts w:ascii="Times New Roman" w:eastAsia="Times New Roman" w:hAnsi="Times New Roman"/>
          <w:sz w:val="24"/>
          <w:szCs w:val="24"/>
        </w:rPr>
        <w:t>.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stav 2</w:t>
      </w:r>
      <w:r w:rsidR="00D343EA">
        <w:rPr>
          <w:rFonts w:ascii="Times New Roman" w:eastAsia="Times New Roman" w:hAnsi="Times New Roman"/>
          <w:sz w:val="24"/>
          <w:szCs w:val="24"/>
        </w:rPr>
        <w:t>.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ovog uputstva.</w:t>
      </w:r>
    </w:p>
    <w:p w14:paraId="22A59C0B" w14:textId="77777777" w:rsidR="00D343EA" w:rsidRDefault="00D343EA" w:rsidP="00D40BA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44B19D5" w14:textId="58589860" w:rsidR="00D343EA" w:rsidRDefault="00D40BA7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FD22A8">
        <w:rPr>
          <w:rFonts w:ascii="Times New Roman" w:eastAsia="Times New Roman" w:hAnsi="Times New Roman"/>
          <w:sz w:val="24"/>
          <w:szCs w:val="24"/>
        </w:rPr>
        <w:t xml:space="preserve"> 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Stranka je dužna da plati </w:t>
      </w:r>
      <w:r w:rsidR="00D343EA">
        <w:rPr>
          <w:rFonts w:ascii="Times New Roman" w:eastAsia="Times New Roman" w:hAnsi="Times New Roman"/>
          <w:sz w:val="24"/>
          <w:szCs w:val="24"/>
        </w:rPr>
        <w:t>taksu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 xml:space="preserve"> u roku koji odredi sudija, odnosno predsednik </w:t>
      </w:r>
      <w:r w:rsidR="00D343EA">
        <w:rPr>
          <w:rFonts w:ascii="Times New Roman" w:eastAsia="Times New Roman" w:hAnsi="Times New Roman"/>
          <w:sz w:val="24"/>
          <w:szCs w:val="24"/>
        </w:rPr>
        <w:t>sudskog veća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>, a koji ne može biti duži od 15 dana.</w:t>
      </w:r>
    </w:p>
    <w:p w14:paraId="07CE4C86" w14:textId="77777777" w:rsidR="00D40BA7" w:rsidRDefault="00770EE9" w:rsidP="00830C56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40BA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DA7FD82" w14:textId="10D74C17" w:rsidR="00D343EA" w:rsidRDefault="00D40BA7" w:rsidP="00D343EA">
      <w:pPr>
        <w:tabs>
          <w:tab w:val="left" w:pos="810"/>
        </w:tabs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30C56">
        <w:rPr>
          <w:rFonts w:ascii="Times New Roman" w:eastAsia="Times New Roman" w:hAnsi="Times New Roman"/>
          <w:sz w:val="24"/>
          <w:szCs w:val="24"/>
        </w:rPr>
        <w:t>4.1.</w:t>
      </w:r>
      <w:r w:rsidR="003C0FA1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>ako taksa za podnesak nije uplaćena do konačnog roka, čak ni po prijemu obaveštenja o njenoj uplati, u slučajevima kada ne postoje uslovi za oslobađanje stranke od obaveze plaćanja</w:t>
      </w:r>
      <w:r w:rsidR="003856CD">
        <w:rPr>
          <w:rFonts w:ascii="Times New Roman" w:eastAsia="Times New Roman" w:hAnsi="Times New Roman"/>
          <w:sz w:val="24"/>
          <w:szCs w:val="24"/>
        </w:rPr>
        <w:t xml:space="preserve"> takse</w:t>
      </w:r>
      <w:r w:rsidR="00D343EA" w:rsidRPr="00D343EA">
        <w:rPr>
          <w:rFonts w:ascii="Times New Roman" w:eastAsia="Times New Roman" w:hAnsi="Times New Roman"/>
          <w:sz w:val="24"/>
          <w:szCs w:val="24"/>
        </w:rPr>
        <w:t>, smatraće se da je podnesak povučen.</w:t>
      </w:r>
    </w:p>
    <w:p w14:paraId="54958FE1" w14:textId="5402E49C" w:rsidR="00D343EA" w:rsidRDefault="00D343EA" w:rsidP="00830C56">
      <w:pPr>
        <w:tabs>
          <w:tab w:val="left" w:pos="81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0E09188E" w14:textId="77777777" w:rsidR="00FF2736" w:rsidRDefault="00FF2736" w:rsidP="00830C56">
      <w:pPr>
        <w:tabs>
          <w:tab w:val="left" w:pos="81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83A4291" w14:textId="77777777" w:rsidR="00830C56" w:rsidRDefault="00830C56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E7E802" w14:textId="4CFF143F" w:rsidR="00C56688" w:rsidRPr="00121BE2" w:rsidRDefault="00A66951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1630" w:rsidRPr="00121BE2"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0E71D113" w14:textId="169F8B57" w:rsidR="003856CD" w:rsidRDefault="003856CD" w:rsidP="00053EBA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56CD">
        <w:rPr>
          <w:rFonts w:ascii="Times New Roman" w:eastAsia="Times New Roman" w:hAnsi="Times New Roman"/>
          <w:b/>
          <w:sz w:val="24"/>
          <w:szCs w:val="24"/>
        </w:rPr>
        <w:t xml:space="preserve">Plaćanje </w:t>
      </w:r>
      <w:r>
        <w:rPr>
          <w:rFonts w:ascii="Times New Roman" w:eastAsia="Times New Roman" w:hAnsi="Times New Roman"/>
          <w:b/>
          <w:sz w:val="24"/>
          <w:szCs w:val="24"/>
        </w:rPr>
        <w:t>takse</w:t>
      </w:r>
      <w:r w:rsidRPr="003856CD">
        <w:rPr>
          <w:rFonts w:ascii="Times New Roman" w:eastAsia="Times New Roman" w:hAnsi="Times New Roman"/>
          <w:b/>
          <w:sz w:val="24"/>
          <w:szCs w:val="24"/>
        </w:rPr>
        <w:t xml:space="preserve"> u skladu sa </w:t>
      </w:r>
      <w:r>
        <w:rPr>
          <w:rFonts w:ascii="Times New Roman" w:eastAsia="Times New Roman" w:hAnsi="Times New Roman"/>
          <w:b/>
          <w:sz w:val="24"/>
          <w:szCs w:val="24"/>
        </w:rPr>
        <w:t>tarifom</w:t>
      </w:r>
      <w:r w:rsidRPr="003856CD">
        <w:rPr>
          <w:rFonts w:ascii="Times New Roman" w:eastAsia="Times New Roman" w:hAnsi="Times New Roman"/>
          <w:b/>
          <w:sz w:val="24"/>
          <w:szCs w:val="24"/>
        </w:rPr>
        <w:t xml:space="preserve"> za sudske takse</w:t>
      </w:r>
    </w:p>
    <w:p w14:paraId="7949E76B" w14:textId="238A22BB" w:rsidR="003856CD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3856CD">
        <w:rPr>
          <w:rFonts w:ascii="Times New Roman" w:eastAsia="Times New Roman" w:hAnsi="Times New Roman"/>
          <w:sz w:val="24"/>
          <w:szCs w:val="24"/>
        </w:rPr>
        <w:t>Ako je početna taksa koju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 je stranka uplatila kancelariji </w:t>
      </w:r>
      <w:r w:rsidR="003856CD">
        <w:rPr>
          <w:rFonts w:ascii="Times New Roman" w:eastAsia="Times New Roman" w:hAnsi="Times New Roman"/>
          <w:sz w:val="24"/>
          <w:szCs w:val="24"/>
        </w:rPr>
        <w:t xml:space="preserve">za prijem 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niža od vrednosti </w:t>
      </w:r>
      <w:r w:rsidR="003856CD">
        <w:rPr>
          <w:rFonts w:ascii="Times New Roman" w:eastAsia="Times New Roman" w:hAnsi="Times New Roman"/>
          <w:sz w:val="24"/>
          <w:szCs w:val="24"/>
        </w:rPr>
        <w:t>takse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 koju odredi sudija, sud</w:t>
      </w:r>
      <w:r w:rsidR="003856CD">
        <w:rPr>
          <w:rFonts w:ascii="Times New Roman" w:eastAsia="Times New Roman" w:hAnsi="Times New Roman"/>
          <w:sz w:val="24"/>
          <w:szCs w:val="24"/>
        </w:rPr>
        <w:t xml:space="preserve"> nalaže stranci da plati dodatnu taksu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>, uz obaveštenje o pravnim posledicama neplaćanja.</w:t>
      </w:r>
    </w:p>
    <w:p w14:paraId="6E2C1227" w14:textId="7733DEDD" w:rsidR="003856CD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Sud određuje rok za uplatu </w:t>
      </w:r>
      <w:r w:rsidR="003856CD">
        <w:rPr>
          <w:rFonts w:ascii="Times New Roman" w:eastAsia="Times New Roman" w:hAnsi="Times New Roman"/>
          <w:sz w:val="24"/>
          <w:szCs w:val="24"/>
        </w:rPr>
        <w:t>preostalog dela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 sudske takse iz stava 1. ovog člana, koji ne može biti duži od 15 dana od dana prijema </w:t>
      </w:r>
      <w:r w:rsidR="003856CD">
        <w:rPr>
          <w:rFonts w:ascii="Times New Roman" w:eastAsia="Times New Roman" w:hAnsi="Times New Roman"/>
          <w:sz w:val="24"/>
          <w:szCs w:val="24"/>
        </w:rPr>
        <w:t>opomene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 o uplati sudske takse.</w:t>
      </w:r>
    </w:p>
    <w:p w14:paraId="62E29445" w14:textId="48C44F3E" w:rsidR="003856CD" w:rsidRDefault="003C0FA1" w:rsidP="00A450A0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Ako je stranka u kancelariji </w:t>
      </w:r>
      <w:r w:rsidR="003856CD">
        <w:rPr>
          <w:rFonts w:ascii="Times New Roman" w:eastAsia="Times New Roman" w:hAnsi="Times New Roman"/>
          <w:sz w:val="24"/>
          <w:szCs w:val="24"/>
        </w:rPr>
        <w:t xml:space="preserve">za prijem 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>platila sudsku taksu veću od one koju je odredio sudija u sudskom postupku, sud rešenjem nalaže vraćanje razlike.</w:t>
      </w:r>
    </w:p>
    <w:p w14:paraId="27C2B8C0" w14:textId="77777777" w:rsidR="00830C56" w:rsidRDefault="00830C56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27379" w14:textId="77777777" w:rsidR="00830C56" w:rsidRDefault="00830C56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C465AA" w14:textId="754AD017" w:rsidR="003A6313" w:rsidRPr="00121BE2" w:rsidRDefault="00A450A0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A66951">
        <w:rPr>
          <w:rFonts w:ascii="Times New Roman" w:eastAsia="Times New Roman" w:hAnsi="Times New Roman"/>
          <w:b/>
          <w:sz w:val="24"/>
          <w:szCs w:val="24"/>
        </w:rPr>
        <w:t>Član</w:t>
      </w:r>
      <w:r w:rsidR="00A66951"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92256" w:rsidRPr="00121BE2">
        <w:rPr>
          <w:rFonts w:ascii="Times New Roman" w:eastAsia="Times New Roman" w:hAnsi="Times New Roman"/>
          <w:b/>
          <w:sz w:val="24"/>
          <w:szCs w:val="24"/>
        </w:rPr>
        <w:t>7</w:t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ab/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ab/>
      </w:r>
    </w:p>
    <w:p w14:paraId="0BA7BC2B" w14:textId="77777777" w:rsidR="003856CD" w:rsidRDefault="003856CD" w:rsidP="002B635E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56CD">
        <w:rPr>
          <w:rFonts w:ascii="Times New Roman" w:eastAsia="Times New Roman" w:hAnsi="Times New Roman"/>
          <w:b/>
          <w:sz w:val="24"/>
          <w:szCs w:val="24"/>
        </w:rPr>
        <w:t>Prenos nadležnosti i povlačenje podneska</w:t>
      </w:r>
    </w:p>
    <w:p w14:paraId="53223E31" w14:textId="043CE64E" w:rsidR="003856CD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3856CD">
        <w:rPr>
          <w:rFonts w:ascii="Times New Roman" w:eastAsia="Times New Roman" w:hAnsi="Times New Roman"/>
          <w:sz w:val="24"/>
          <w:szCs w:val="24"/>
        </w:rPr>
        <w:t xml:space="preserve">Taksa koja 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se plaća za predmet za koji je sud proglašen nenadležnim, </w:t>
      </w:r>
      <w:r w:rsidR="003856CD">
        <w:rPr>
          <w:rFonts w:ascii="Times New Roman" w:eastAsia="Times New Roman" w:hAnsi="Times New Roman"/>
          <w:sz w:val="24"/>
          <w:szCs w:val="24"/>
        </w:rPr>
        <w:t xml:space="preserve">vazi i za sud 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>koji je po zakonu nadležan da odlučuje.</w:t>
      </w:r>
    </w:p>
    <w:p w14:paraId="0268012A" w14:textId="7E601861" w:rsidR="003856CD" w:rsidRDefault="00547969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3C0FA1">
        <w:rPr>
          <w:rFonts w:ascii="Times New Roman" w:eastAsia="Times New Roman" w:hAnsi="Times New Roman"/>
          <w:sz w:val="24"/>
          <w:szCs w:val="24"/>
        </w:rPr>
        <w:t xml:space="preserve">. 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Ako stranka povuče podnesak nakon plaćanja </w:t>
      </w:r>
      <w:r w:rsidR="003856CD">
        <w:rPr>
          <w:rFonts w:ascii="Times New Roman" w:eastAsia="Times New Roman" w:hAnsi="Times New Roman"/>
          <w:sz w:val="24"/>
          <w:szCs w:val="24"/>
        </w:rPr>
        <w:t>takse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 xml:space="preserve">, nema pravo da traži </w:t>
      </w:r>
      <w:r w:rsidR="003856CD">
        <w:rPr>
          <w:rFonts w:ascii="Times New Roman" w:eastAsia="Times New Roman" w:hAnsi="Times New Roman"/>
          <w:sz w:val="24"/>
          <w:szCs w:val="24"/>
        </w:rPr>
        <w:t>povraćaj već plaćene takse sudu</w:t>
      </w:r>
      <w:r w:rsidR="003856CD" w:rsidRPr="003856CD">
        <w:rPr>
          <w:rFonts w:ascii="Times New Roman" w:eastAsia="Times New Roman" w:hAnsi="Times New Roman"/>
          <w:sz w:val="24"/>
          <w:szCs w:val="24"/>
        </w:rPr>
        <w:t>.</w:t>
      </w:r>
    </w:p>
    <w:p w14:paraId="759C275A" w14:textId="77777777" w:rsidR="00A450A0" w:rsidRPr="003C0FA1" w:rsidRDefault="00A450A0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2B69890" w14:textId="77777777" w:rsidR="00830C56" w:rsidRDefault="00830C56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76E12E" w14:textId="62F64979" w:rsidR="00C56688" w:rsidRPr="00121BE2" w:rsidRDefault="00A66951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60686" w:rsidRPr="00121BE2"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1F024592" w14:textId="381E6806" w:rsidR="00C47B70" w:rsidRDefault="00C47B70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7B70">
        <w:rPr>
          <w:rFonts w:ascii="Times New Roman" w:eastAsia="Times New Roman" w:hAnsi="Times New Roman"/>
          <w:b/>
          <w:sz w:val="24"/>
          <w:szCs w:val="24"/>
        </w:rPr>
        <w:t xml:space="preserve">Oslobođenje od plaćanja </w:t>
      </w:r>
      <w:r>
        <w:rPr>
          <w:rFonts w:ascii="Times New Roman" w:eastAsia="Times New Roman" w:hAnsi="Times New Roman"/>
          <w:b/>
          <w:sz w:val="24"/>
          <w:szCs w:val="24"/>
        </w:rPr>
        <w:t>taksi</w:t>
      </w:r>
    </w:p>
    <w:p w14:paraId="5F932BA1" w14:textId="77777777" w:rsidR="00830C56" w:rsidRPr="009D74D5" w:rsidRDefault="00830C56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3EDC36" w14:textId="40C0C3CE" w:rsidR="00C47B70" w:rsidRDefault="00C47B70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7B70">
        <w:rPr>
          <w:rFonts w:ascii="Times New Roman" w:eastAsia="Times New Roman" w:hAnsi="Times New Roman"/>
          <w:sz w:val="24"/>
          <w:szCs w:val="24"/>
        </w:rPr>
        <w:t xml:space="preserve">1. Sledeće kategorije lica oslobođene su </w:t>
      </w:r>
      <w:r>
        <w:rPr>
          <w:rFonts w:ascii="Times New Roman" w:eastAsia="Times New Roman" w:hAnsi="Times New Roman"/>
          <w:sz w:val="24"/>
          <w:szCs w:val="24"/>
        </w:rPr>
        <w:t xml:space="preserve">od </w:t>
      </w:r>
      <w:r w:rsidRPr="00C47B70">
        <w:rPr>
          <w:rFonts w:ascii="Times New Roman" w:eastAsia="Times New Roman" w:hAnsi="Times New Roman"/>
          <w:sz w:val="24"/>
          <w:szCs w:val="24"/>
        </w:rPr>
        <w:t xml:space="preserve">plaćanja sudske takse za svaki </w:t>
      </w:r>
      <w:r>
        <w:rPr>
          <w:rFonts w:ascii="Times New Roman" w:eastAsia="Times New Roman" w:hAnsi="Times New Roman"/>
          <w:sz w:val="24"/>
          <w:szCs w:val="24"/>
        </w:rPr>
        <w:t>podnesak</w:t>
      </w:r>
      <w:r w:rsidRPr="00C47B70">
        <w:rPr>
          <w:rFonts w:ascii="Times New Roman" w:eastAsia="Times New Roman" w:hAnsi="Times New Roman"/>
          <w:sz w:val="24"/>
          <w:szCs w:val="24"/>
        </w:rPr>
        <w:t>:</w:t>
      </w:r>
    </w:p>
    <w:p w14:paraId="3D3D42AD" w14:textId="77777777" w:rsidR="00830C56" w:rsidRPr="00A450A0" w:rsidRDefault="00830C56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6D54CD5" w14:textId="1EA3F559" w:rsidR="00FB624B" w:rsidRPr="00830C56" w:rsidRDefault="00830C56" w:rsidP="00830C56">
      <w:pPr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="00C47B70" w:rsidRPr="00C47B70">
        <w:rPr>
          <w:rFonts w:ascii="Times New Roman" w:eastAsia="Times New Roman" w:hAnsi="Times New Roman"/>
          <w:sz w:val="24"/>
          <w:szCs w:val="24"/>
        </w:rPr>
        <w:t>korisnik socijalne pomoći;</w:t>
      </w:r>
    </w:p>
    <w:p w14:paraId="51293299" w14:textId="3B63A5D1" w:rsidR="00C47B70" w:rsidRDefault="00830C56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1.2.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47B70" w:rsidRPr="00C47B70">
        <w:rPr>
          <w:rFonts w:ascii="Times New Roman" w:eastAsia="Times New Roman" w:hAnsi="Times New Roman"/>
          <w:sz w:val="24"/>
          <w:szCs w:val="24"/>
        </w:rPr>
        <w:t>porodice boraca OVK</w:t>
      </w:r>
      <w:r w:rsidR="00C47B70">
        <w:rPr>
          <w:rFonts w:ascii="Times New Roman" w:eastAsia="Times New Roman" w:hAnsi="Times New Roman"/>
          <w:sz w:val="24"/>
          <w:szCs w:val="24"/>
        </w:rPr>
        <w:t>-a</w:t>
      </w:r>
      <w:r w:rsidR="00C47B70" w:rsidRPr="00C47B70">
        <w:rPr>
          <w:rFonts w:ascii="Times New Roman" w:eastAsia="Times New Roman" w:hAnsi="Times New Roman"/>
          <w:sz w:val="24"/>
          <w:szCs w:val="24"/>
        </w:rPr>
        <w:t xml:space="preserve"> i nestalih u ratu;</w:t>
      </w:r>
    </w:p>
    <w:p w14:paraId="55F1DF74" w14:textId="77777777" w:rsidR="00C47B70" w:rsidRDefault="00830C56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1.3.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47B70" w:rsidRPr="00C47B70">
        <w:rPr>
          <w:rFonts w:ascii="Times New Roman" w:eastAsia="Times New Roman" w:hAnsi="Times New Roman"/>
          <w:sz w:val="24"/>
          <w:szCs w:val="24"/>
        </w:rPr>
        <w:t>invalidi OVK;</w:t>
      </w:r>
    </w:p>
    <w:p w14:paraId="1B554E3D" w14:textId="77777777" w:rsidR="00C47B70" w:rsidRDefault="00830C56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830C56">
        <w:rPr>
          <w:rFonts w:ascii="Times New Roman" w:eastAsia="Times New Roman" w:hAnsi="Times New Roman"/>
          <w:sz w:val="24"/>
          <w:szCs w:val="24"/>
        </w:rPr>
        <w:t>1.4.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47B70" w:rsidRPr="00C47B70">
        <w:rPr>
          <w:rFonts w:ascii="Times New Roman" w:eastAsia="Times New Roman" w:hAnsi="Times New Roman"/>
          <w:sz w:val="24"/>
          <w:szCs w:val="24"/>
        </w:rPr>
        <w:t>ratni veterani;</w:t>
      </w:r>
    </w:p>
    <w:p w14:paraId="194ED483" w14:textId="77777777" w:rsidR="00C47B70" w:rsidRDefault="00830C56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1.5. </w:t>
      </w:r>
      <w:r w:rsidR="00C47B70" w:rsidRPr="00C47B70">
        <w:rPr>
          <w:rFonts w:ascii="Times New Roman" w:eastAsia="Times New Roman" w:hAnsi="Times New Roman"/>
          <w:sz w:val="24"/>
          <w:szCs w:val="24"/>
        </w:rPr>
        <w:t>porodice civilnih žrtava rata;</w:t>
      </w:r>
    </w:p>
    <w:p w14:paraId="71F87268" w14:textId="08224967" w:rsidR="00C47B70" w:rsidRPr="00C47B70" w:rsidRDefault="00830C56" w:rsidP="00C47B7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C47B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47B70" w:rsidRPr="00C47B70">
        <w:rPr>
          <w:rFonts w:ascii="Times New Roman" w:eastAsia="Times New Roman" w:hAnsi="Times New Roman"/>
          <w:sz w:val="24"/>
          <w:szCs w:val="24"/>
        </w:rPr>
        <w:t>1.6. žrtve seksualnog nasilja u ratu;</w:t>
      </w:r>
    </w:p>
    <w:p w14:paraId="6349EF29" w14:textId="77777777" w:rsidR="00C47B70" w:rsidRPr="00C47B70" w:rsidRDefault="00C47B70" w:rsidP="00C47B7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7B70">
        <w:rPr>
          <w:rFonts w:ascii="Times New Roman" w:eastAsia="Times New Roman" w:hAnsi="Times New Roman"/>
          <w:sz w:val="24"/>
          <w:szCs w:val="24"/>
        </w:rPr>
        <w:t xml:space="preserve">                 1.7. osobe sa invaliditetom;</w:t>
      </w:r>
    </w:p>
    <w:p w14:paraId="644D64D6" w14:textId="77777777" w:rsidR="00C47B70" w:rsidRDefault="00C47B70" w:rsidP="00C47B7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7B70">
        <w:rPr>
          <w:rFonts w:ascii="Times New Roman" w:eastAsia="Times New Roman" w:hAnsi="Times New Roman"/>
          <w:sz w:val="24"/>
          <w:szCs w:val="24"/>
        </w:rPr>
        <w:t xml:space="preserve">                 1.8. paraplegičari i tetraplegičari;</w:t>
      </w:r>
    </w:p>
    <w:p w14:paraId="33765C2A" w14:textId="5B47D336" w:rsidR="003C0FA1" w:rsidRDefault="00830C56" w:rsidP="00830C56">
      <w:pPr>
        <w:tabs>
          <w:tab w:val="left" w:pos="900"/>
          <w:tab w:val="left" w:pos="1260"/>
          <w:tab w:val="left" w:pos="1530"/>
        </w:tabs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1.9.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47B70">
        <w:rPr>
          <w:rFonts w:ascii="Times New Roman" w:eastAsia="Times New Roman" w:hAnsi="Times New Roman"/>
          <w:sz w:val="24"/>
          <w:szCs w:val="24"/>
        </w:rPr>
        <w:t>slepi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6989D7C" w14:textId="77777777" w:rsidR="00830C56" w:rsidRPr="00830C56" w:rsidRDefault="00830C56" w:rsidP="00830C56">
      <w:pPr>
        <w:tabs>
          <w:tab w:val="left" w:pos="900"/>
          <w:tab w:val="left" w:pos="1260"/>
          <w:tab w:val="left" w:pos="1530"/>
        </w:tabs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810E653" w14:textId="77777777" w:rsidR="00C47B70" w:rsidRDefault="00C47B70" w:rsidP="00830C56">
      <w:pPr>
        <w:tabs>
          <w:tab w:val="left" w:pos="36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7B70">
        <w:rPr>
          <w:rFonts w:ascii="Times New Roman" w:eastAsia="Times New Roman" w:hAnsi="Times New Roman"/>
          <w:bCs/>
          <w:sz w:val="24"/>
          <w:szCs w:val="24"/>
        </w:rPr>
        <w:t>2. Državne institucije (lokalne i centralne).</w:t>
      </w:r>
    </w:p>
    <w:p w14:paraId="7A95F24D" w14:textId="77777777" w:rsidR="00830C56" w:rsidRPr="00A450A0" w:rsidRDefault="00830C56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485BC127" w14:textId="0334BFC7" w:rsidR="002C36B0" w:rsidRDefault="00A450A0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Izuzetno od stava 1. ovog člana, na njegov zahtev od plaćanja sudske takse može biti oslobođeno i lice sa </w:t>
      </w:r>
      <w:r w:rsidR="002C36B0">
        <w:rPr>
          <w:rFonts w:ascii="Times New Roman" w:eastAsia="Times New Roman" w:hAnsi="Times New Roman"/>
          <w:sz w:val="24"/>
          <w:szCs w:val="24"/>
        </w:rPr>
        <w:t>teškim finansijskim stanjem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>, koje pred sudom predoči dokaze da plaćanje poreza direktno utiče na ugrožavanje njegovo</w:t>
      </w:r>
      <w:r w:rsidR="002C36B0">
        <w:rPr>
          <w:rFonts w:ascii="Times New Roman" w:eastAsia="Times New Roman" w:hAnsi="Times New Roman"/>
          <w:sz w:val="24"/>
          <w:szCs w:val="24"/>
        </w:rPr>
        <w:t>g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</w:t>
      </w:r>
      <w:r w:rsidR="002C36B0">
        <w:rPr>
          <w:rFonts w:ascii="Times New Roman" w:eastAsia="Times New Roman" w:hAnsi="Times New Roman"/>
          <w:sz w:val="24"/>
          <w:szCs w:val="24"/>
        </w:rPr>
        <w:t>stanja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>, odnosno članov</w:t>
      </w:r>
      <w:r w:rsidR="002C36B0">
        <w:rPr>
          <w:rFonts w:ascii="Times New Roman" w:eastAsia="Times New Roman" w:hAnsi="Times New Roman"/>
          <w:sz w:val="24"/>
          <w:szCs w:val="24"/>
        </w:rPr>
        <w:t>a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njegove porodice ili </w:t>
      </w:r>
      <w:r w:rsidR="002C36B0">
        <w:rPr>
          <w:rFonts w:ascii="Times New Roman" w:eastAsia="Times New Roman" w:hAnsi="Times New Roman"/>
          <w:sz w:val="24"/>
          <w:szCs w:val="24"/>
        </w:rPr>
        <w:t>drugih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lica koja zavise od njega.</w:t>
      </w:r>
    </w:p>
    <w:p w14:paraId="0BA2900D" w14:textId="77777777" w:rsidR="00C154A6" w:rsidRPr="003C0FA1" w:rsidRDefault="00C154A6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63D256E0" w14:textId="5BDA6A6E" w:rsidR="002C36B0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Kategorije lica prema stavu 1. ovog člana da bi bile oslobođene </w:t>
      </w:r>
      <w:r w:rsidR="002C36B0">
        <w:rPr>
          <w:rFonts w:ascii="Times New Roman" w:eastAsia="Times New Roman" w:hAnsi="Times New Roman"/>
          <w:sz w:val="24"/>
          <w:szCs w:val="24"/>
        </w:rPr>
        <w:t xml:space="preserve">od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plaćanja </w:t>
      </w:r>
      <w:r w:rsidR="002C36B0">
        <w:rPr>
          <w:rFonts w:ascii="Times New Roman" w:eastAsia="Times New Roman" w:hAnsi="Times New Roman"/>
          <w:sz w:val="24"/>
          <w:szCs w:val="24"/>
        </w:rPr>
        <w:t>takse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, moraju pred sudom da predoče dokaz da imaju status ove kategorije. </w:t>
      </w:r>
    </w:p>
    <w:p w14:paraId="40E8412A" w14:textId="5C6686B5" w:rsidR="002C36B0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Odredbe ovog člana o oslobađanju od </w:t>
      </w:r>
      <w:r w:rsidR="002C36B0">
        <w:rPr>
          <w:rFonts w:ascii="Times New Roman" w:eastAsia="Times New Roman" w:hAnsi="Times New Roman"/>
          <w:sz w:val="24"/>
          <w:szCs w:val="24"/>
        </w:rPr>
        <w:t>plaćanje takse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ne primenjuju se u predmetima koji </w:t>
      </w:r>
      <w:r w:rsidR="002C36B0">
        <w:rPr>
          <w:rFonts w:ascii="Times New Roman" w:eastAsia="Times New Roman" w:hAnsi="Times New Roman"/>
          <w:sz w:val="24"/>
          <w:szCs w:val="24"/>
        </w:rPr>
        <w:t>spadaju u nadležnost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Privrednog suda. </w:t>
      </w:r>
    </w:p>
    <w:p w14:paraId="05A89139" w14:textId="5191C623" w:rsidR="002C36B0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Sudija ili predsednik </w:t>
      </w:r>
      <w:r w:rsidR="002C36B0">
        <w:rPr>
          <w:rFonts w:ascii="Times New Roman" w:eastAsia="Times New Roman" w:hAnsi="Times New Roman"/>
          <w:sz w:val="24"/>
          <w:szCs w:val="24"/>
        </w:rPr>
        <w:t>sudskog veća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može primorati stranku za koju se ranije smatralo da ispunjava uslove za oslobođenje od plaćanja </w:t>
      </w:r>
      <w:r w:rsidR="002C36B0">
        <w:rPr>
          <w:rFonts w:ascii="Times New Roman" w:eastAsia="Times New Roman" w:hAnsi="Times New Roman"/>
          <w:sz w:val="24"/>
          <w:szCs w:val="24"/>
        </w:rPr>
        <w:t xml:space="preserve">takse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da naknadno plati </w:t>
      </w:r>
      <w:r w:rsidR="002C36B0">
        <w:rPr>
          <w:rFonts w:ascii="Times New Roman" w:eastAsia="Times New Roman" w:hAnsi="Times New Roman"/>
          <w:sz w:val="24"/>
          <w:szCs w:val="24"/>
        </w:rPr>
        <w:t>taksu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C36B0">
        <w:rPr>
          <w:rFonts w:ascii="Times New Roman" w:eastAsia="Times New Roman" w:hAnsi="Times New Roman"/>
          <w:sz w:val="24"/>
          <w:szCs w:val="24"/>
        </w:rPr>
        <w:t>ako tokom vođenja sudskog postupka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</w:t>
      </w:r>
      <w:r w:rsidR="002C36B0">
        <w:rPr>
          <w:rFonts w:ascii="Times New Roman" w:eastAsia="Times New Roman" w:hAnsi="Times New Roman"/>
          <w:sz w:val="24"/>
          <w:szCs w:val="24"/>
        </w:rPr>
        <w:t>utvrdi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da se njeno </w:t>
      </w:r>
      <w:r w:rsidR="002C36B0">
        <w:rPr>
          <w:rFonts w:ascii="Times New Roman" w:eastAsia="Times New Roman" w:hAnsi="Times New Roman"/>
          <w:sz w:val="24"/>
          <w:szCs w:val="24"/>
        </w:rPr>
        <w:t>finansijsko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stanje poboljšalo. </w:t>
      </w:r>
    </w:p>
    <w:p w14:paraId="113BB0B4" w14:textId="3F5B870D" w:rsidR="002C36B0" w:rsidRDefault="00A450A0" w:rsidP="00526EE7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Sudija ili predsednik </w:t>
      </w:r>
      <w:r w:rsidR="002C36B0">
        <w:rPr>
          <w:rFonts w:ascii="Times New Roman" w:eastAsia="Times New Roman" w:hAnsi="Times New Roman"/>
          <w:sz w:val="24"/>
          <w:szCs w:val="24"/>
        </w:rPr>
        <w:t xml:space="preserve">sudskog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veća kome je predmet dodeljen može </w:t>
      </w:r>
      <w:r w:rsidR="002C36B0">
        <w:rPr>
          <w:rFonts w:ascii="Times New Roman" w:eastAsia="Times New Roman" w:hAnsi="Times New Roman"/>
          <w:sz w:val="24"/>
          <w:szCs w:val="24"/>
        </w:rPr>
        <w:t xml:space="preserve">da ostavi dodatno vreme 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stranci koja je tražila produženje roka za uplatu </w:t>
      </w:r>
      <w:r w:rsidR="002C36B0">
        <w:rPr>
          <w:rFonts w:ascii="Times New Roman" w:eastAsia="Times New Roman" w:hAnsi="Times New Roman"/>
          <w:sz w:val="24"/>
          <w:szCs w:val="24"/>
        </w:rPr>
        <w:t>takse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 u punom iznosu ili </w:t>
      </w:r>
      <w:r w:rsidR="002C36B0">
        <w:rPr>
          <w:rFonts w:ascii="Times New Roman" w:eastAsia="Times New Roman" w:hAnsi="Times New Roman"/>
          <w:sz w:val="24"/>
          <w:szCs w:val="24"/>
        </w:rPr>
        <w:t>jednom delu, ako utvrdi da</w:t>
      </w:r>
      <w:r w:rsidR="002C36B0" w:rsidRPr="002C36B0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30C348AF" w14:textId="77777777" w:rsidR="00367BFF" w:rsidRPr="00B72730" w:rsidRDefault="00367BFF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14:paraId="24E07F5D" w14:textId="19476956" w:rsidR="000F517C" w:rsidRDefault="00A450A0" w:rsidP="00C154A6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7.1. </w:t>
      </w:r>
      <w:r w:rsidR="000F517C">
        <w:rPr>
          <w:rFonts w:ascii="Times New Roman" w:eastAsia="Times New Roman" w:hAnsi="Times New Roman"/>
          <w:sz w:val="24"/>
          <w:szCs w:val="24"/>
        </w:rPr>
        <w:t xml:space="preserve">se 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ta strana ne kvalifikuje kao </w:t>
      </w:r>
      <w:r w:rsidR="000F517C">
        <w:rPr>
          <w:rFonts w:ascii="Times New Roman" w:eastAsia="Times New Roman" w:hAnsi="Times New Roman"/>
          <w:sz w:val="24"/>
          <w:szCs w:val="24"/>
        </w:rPr>
        <w:t>stranka koja je oslobođena od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 plaćanja </w:t>
      </w:r>
      <w:r w:rsidR="000F517C">
        <w:rPr>
          <w:rFonts w:ascii="Times New Roman" w:eastAsia="Times New Roman" w:hAnsi="Times New Roman"/>
          <w:sz w:val="24"/>
          <w:szCs w:val="24"/>
        </w:rPr>
        <w:t>takse prema stavu 1. ovog člana; i</w:t>
      </w:r>
    </w:p>
    <w:p w14:paraId="5005D603" w14:textId="1E18951F" w:rsidR="000F517C" w:rsidRDefault="00A450A0" w:rsidP="000F517C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da je produženje roka za plaćanje celog iznosa ili dela </w:t>
      </w:r>
      <w:r w:rsidR="000F517C">
        <w:rPr>
          <w:rFonts w:ascii="Times New Roman" w:eastAsia="Times New Roman" w:hAnsi="Times New Roman"/>
          <w:sz w:val="24"/>
          <w:szCs w:val="24"/>
        </w:rPr>
        <w:t>take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 neophodno radi zaštite prava stranke. </w:t>
      </w:r>
    </w:p>
    <w:p w14:paraId="22E473B7" w14:textId="77777777" w:rsidR="003C0FA1" w:rsidRDefault="003C0FA1" w:rsidP="003C0FA1">
      <w:pPr>
        <w:rPr>
          <w:rFonts w:ascii="Times New Roman" w:eastAsia="Times New Roman" w:hAnsi="Times New Roman"/>
          <w:b/>
          <w:sz w:val="24"/>
          <w:szCs w:val="24"/>
        </w:rPr>
      </w:pPr>
    </w:p>
    <w:p w14:paraId="7D39183E" w14:textId="085F19C3" w:rsidR="000F517C" w:rsidRDefault="0076528C" w:rsidP="00367BF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7BFF">
        <w:rPr>
          <w:rFonts w:ascii="Times New Roman" w:eastAsia="Times New Roman" w:hAnsi="Times New Roman"/>
          <w:sz w:val="24"/>
          <w:szCs w:val="24"/>
        </w:rPr>
        <w:lastRenderedPageBreak/>
        <w:t>8.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Ako stranka ni nakon produženja roka za uplatu </w:t>
      </w:r>
      <w:r w:rsidR="000F517C">
        <w:rPr>
          <w:rFonts w:ascii="Times New Roman" w:eastAsia="Times New Roman" w:hAnsi="Times New Roman"/>
          <w:sz w:val="24"/>
          <w:szCs w:val="24"/>
        </w:rPr>
        <w:t>takse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 od strane suda ne plati </w:t>
      </w:r>
      <w:r w:rsidR="000F517C">
        <w:rPr>
          <w:rFonts w:ascii="Times New Roman" w:eastAsia="Times New Roman" w:hAnsi="Times New Roman"/>
          <w:sz w:val="24"/>
          <w:szCs w:val="24"/>
        </w:rPr>
        <w:t>taksu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 u roku koji </w:t>
      </w:r>
      <w:r w:rsidR="000F517C">
        <w:rPr>
          <w:rFonts w:ascii="Times New Roman" w:eastAsia="Times New Roman" w:hAnsi="Times New Roman"/>
          <w:sz w:val="24"/>
          <w:szCs w:val="24"/>
        </w:rPr>
        <w:t>joj je ostavio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 sud, sudija ili predsednik </w:t>
      </w:r>
      <w:r w:rsidR="000F517C">
        <w:rPr>
          <w:rFonts w:ascii="Times New Roman" w:eastAsia="Times New Roman" w:hAnsi="Times New Roman"/>
          <w:sz w:val="24"/>
          <w:szCs w:val="24"/>
        </w:rPr>
        <w:t>sudskog veća,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 mora da postupi u skladu sa članom 5. stav 4.1</w:t>
      </w:r>
      <w:r w:rsidR="000F517C">
        <w:rPr>
          <w:rFonts w:ascii="Times New Roman" w:eastAsia="Times New Roman" w:hAnsi="Times New Roman"/>
          <w:sz w:val="24"/>
          <w:szCs w:val="24"/>
        </w:rPr>
        <w:t>.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 xml:space="preserve"> ovog administrativnog uputstva.</w:t>
      </w:r>
      <w:r w:rsidR="000F517C" w:rsidRPr="000F517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9B24A85" w14:textId="77777777" w:rsidR="003C0FA1" w:rsidRDefault="003C0FA1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463D6E" w14:textId="77777777" w:rsidR="00750FD9" w:rsidRDefault="00750FD9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B8B1F6" w14:textId="0E88318D" w:rsidR="00236968" w:rsidRPr="00121BE2" w:rsidRDefault="00A66951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6968" w:rsidRPr="00121BE2">
        <w:rPr>
          <w:rFonts w:ascii="Times New Roman" w:eastAsia="Times New Roman" w:hAnsi="Times New Roman"/>
          <w:b/>
          <w:sz w:val="24"/>
          <w:szCs w:val="24"/>
        </w:rPr>
        <w:t>9</w:t>
      </w:r>
    </w:p>
    <w:p w14:paraId="725A232C" w14:textId="44381BE6" w:rsidR="000F517C" w:rsidRDefault="000F517C" w:rsidP="002B635E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Podnesci</w:t>
      </w:r>
      <w:r w:rsidRPr="000F517C">
        <w:rPr>
          <w:rFonts w:ascii="Times New Roman" w:eastAsia="Times New Roman" w:hAnsi="Times New Roman"/>
          <w:b/>
          <w:sz w:val="24"/>
          <w:szCs w:val="24"/>
        </w:rPr>
        <w:t xml:space="preserve"> za koje se ne plaća </w:t>
      </w:r>
      <w:r>
        <w:rPr>
          <w:rFonts w:ascii="Times New Roman" w:eastAsia="Times New Roman" w:hAnsi="Times New Roman"/>
          <w:b/>
          <w:sz w:val="24"/>
          <w:szCs w:val="24"/>
        </w:rPr>
        <w:t>taksa</w:t>
      </w:r>
    </w:p>
    <w:p w14:paraId="02601FDA" w14:textId="20358F10" w:rsidR="000F517C" w:rsidRDefault="00367BFF" w:rsidP="00367BFF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0F517C" w:rsidRPr="000F517C">
        <w:rPr>
          <w:rFonts w:ascii="Times New Roman" w:eastAsia="Times New Roman" w:hAnsi="Times New Roman"/>
          <w:sz w:val="24"/>
          <w:szCs w:val="24"/>
        </w:rPr>
        <w:t>Od plaćanja sudske takse oslobođeni su podnesci koje su podnele stranke, kao što su:</w:t>
      </w:r>
    </w:p>
    <w:p w14:paraId="7D8CF70D" w14:textId="5BA03BB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1.1. ispravljanje, preciziranje, odnosno uređenje tužbe;</w:t>
      </w:r>
    </w:p>
    <w:p w14:paraId="23EE9C05" w14:textId="7777777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1.2. slanje tačne adrese;</w:t>
      </w:r>
    </w:p>
    <w:p w14:paraId="13E42DAE" w14:textId="0E6CCC80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1.3. hitnost za ubrzanje predmeta;</w:t>
      </w:r>
    </w:p>
    <w:p w14:paraId="33B93917" w14:textId="7777777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1.4. zahtev za nastavak prekinutog postupka;</w:t>
      </w:r>
    </w:p>
    <w:p w14:paraId="63CFE8C4" w14:textId="3BB6EE4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1.5. obaveštenje o određivanju ili promeni advokata;</w:t>
      </w:r>
    </w:p>
    <w:p w14:paraId="3A2196FF" w14:textId="7777777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1.6. podnesci sa imenima svedoka ili veštaka;</w:t>
      </w:r>
    </w:p>
    <w:p w14:paraId="35AA8EC7" w14:textId="16F336A9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1.7. podnesci za odustajanje od tužbe i podnesci za povlačenje od tužbe;</w:t>
      </w:r>
    </w:p>
    <w:p w14:paraId="6B342F79" w14:textId="7777777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1.8. podnesci za subjektivnu izmenu tužbe;</w:t>
      </w:r>
    </w:p>
    <w:p w14:paraId="3EC86C6A" w14:textId="29083E7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1.9. zahtev stranke za dobijanje dopunske presude od suda;</w:t>
      </w:r>
    </w:p>
    <w:p w14:paraId="4477C26F" w14:textId="7777777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1.10. zahtev za oslobađanje od sudske takse;</w:t>
      </w:r>
    </w:p>
    <w:p w14:paraId="416B0453" w14:textId="2837EAEA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1.11. zahtev za nalog za zaštitu;</w:t>
      </w:r>
    </w:p>
    <w:p w14:paraId="4191C27D" w14:textId="47117059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1.12. zahtev za alimentaciju i izdržavanje;</w:t>
      </w:r>
    </w:p>
    <w:p w14:paraId="0FDF0330" w14:textId="0CA1AD7E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1.13. zahtev koji se odnosi na radni odnos, osim potraživanja u novcu;</w:t>
      </w:r>
    </w:p>
    <w:p w14:paraId="798A10BD" w14:textId="21C71217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1.14. zahtev za priznavanje statusa penzijskih šema;</w:t>
      </w:r>
    </w:p>
    <w:p w14:paraId="40B12DBA" w14:textId="7EA7B951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1.15. zahtev za dobijanje uverenja o krivičnoj osudi onlajn sa e-Kosova;</w:t>
      </w:r>
    </w:p>
    <w:p w14:paraId="68341734" w14:textId="434C1918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1.16. predlog za predaju dece u izvršni postupak;</w:t>
      </w:r>
    </w:p>
    <w:p w14:paraId="3C5127BC" w14:textId="31E1FE88" w:rsidR="000F517C" w:rsidRPr="000F517C" w:rsidRDefault="000F517C" w:rsidP="000F517C">
      <w:pPr>
        <w:tabs>
          <w:tab w:val="left" w:pos="900"/>
          <w:tab w:val="left" w:pos="1260"/>
          <w:tab w:val="left" w:pos="1530"/>
        </w:tabs>
        <w:ind w:left="1260"/>
        <w:jc w:val="both"/>
        <w:rPr>
          <w:rFonts w:ascii="Times New Roman" w:eastAsia="Times New Roman" w:hAnsi="Times New Roman"/>
          <w:sz w:val="24"/>
          <w:szCs w:val="24"/>
        </w:rPr>
      </w:pPr>
      <w:r w:rsidRPr="000F517C">
        <w:rPr>
          <w:rFonts w:ascii="Times New Roman" w:eastAsia="Times New Roman" w:hAnsi="Times New Roman"/>
          <w:sz w:val="24"/>
          <w:szCs w:val="24"/>
        </w:rPr>
        <w:t>1.17. predlog za plaćanje alimentacije i izdržavanja u izvršnom postupku.</w:t>
      </w:r>
    </w:p>
    <w:p w14:paraId="26ABF3A6" w14:textId="77777777" w:rsidR="000F517C" w:rsidRDefault="000F517C" w:rsidP="000F517C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D150FDE" w14:textId="77777777" w:rsidR="00F22424" w:rsidRPr="00F22424" w:rsidRDefault="00F22424" w:rsidP="00F22424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18AB50F" w14:textId="3D4F9A07" w:rsidR="000F517C" w:rsidRDefault="00367BFF" w:rsidP="008808D7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="000F517C" w:rsidRPr="000F517C">
        <w:rPr>
          <w:rFonts w:ascii="Times New Roman" w:eastAsia="Times New Roman" w:hAnsi="Times New Roman"/>
          <w:bCs/>
          <w:sz w:val="24"/>
          <w:szCs w:val="24"/>
        </w:rPr>
        <w:t xml:space="preserve">Izuzev onoga što je predviđeno stavom 1. ovog člana, za prirodu sporova </w:t>
      </w:r>
      <w:r w:rsidR="000F517C">
        <w:rPr>
          <w:rFonts w:ascii="Times New Roman" w:eastAsia="Times New Roman" w:hAnsi="Times New Roman"/>
          <w:bCs/>
          <w:sz w:val="24"/>
          <w:szCs w:val="24"/>
        </w:rPr>
        <w:t>predviđenih tačkom</w:t>
      </w:r>
      <w:r w:rsidR="000F517C" w:rsidRPr="000F517C">
        <w:rPr>
          <w:rFonts w:ascii="Times New Roman" w:eastAsia="Times New Roman" w:hAnsi="Times New Roman"/>
          <w:bCs/>
          <w:sz w:val="24"/>
          <w:szCs w:val="24"/>
        </w:rPr>
        <w:t xml:space="preserve"> 1.11, 1.12, 1.13, 1.15, 1.16 i 1.17</w:t>
      </w:r>
      <w:r w:rsidR="000F517C">
        <w:rPr>
          <w:rFonts w:ascii="Times New Roman" w:eastAsia="Times New Roman" w:hAnsi="Times New Roman"/>
          <w:bCs/>
          <w:sz w:val="24"/>
          <w:szCs w:val="24"/>
        </w:rPr>
        <w:t>.</w:t>
      </w:r>
      <w:r w:rsidR="000F517C" w:rsidRPr="000F517C">
        <w:rPr>
          <w:rFonts w:ascii="Times New Roman" w:eastAsia="Times New Roman" w:hAnsi="Times New Roman"/>
          <w:bCs/>
          <w:sz w:val="24"/>
          <w:szCs w:val="24"/>
        </w:rPr>
        <w:t xml:space="preserve"> člana 1</w:t>
      </w:r>
      <w:r w:rsidR="000F517C">
        <w:rPr>
          <w:rFonts w:ascii="Times New Roman" w:eastAsia="Times New Roman" w:hAnsi="Times New Roman"/>
          <w:bCs/>
          <w:sz w:val="24"/>
          <w:szCs w:val="24"/>
        </w:rPr>
        <w:t>.</w:t>
      </w:r>
      <w:r w:rsidR="000F517C" w:rsidRPr="000F517C">
        <w:rPr>
          <w:rFonts w:ascii="Times New Roman" w:eastAsia="Times New Roman" w:hAnsi="Times New Roman"/>
          <w:bCs/>
          <w:sz w:val="24"/>
          <w:szCs w:val="24"/>
        </w:rPr>
        <w:t xml:space="preserve"> sudska taksa se ne plaća ni </w:t>
      </w:r>
      <w:r w:rsidR="001557C1">
        <w:rPr>
          <w:rFonts w:ascii="Times New Roman" w:eastAsia="Times New Roman" w:hAnsi="Times New Roman"/>
          <w:bCs/>
          <w:sz w:val="24"/>
          <w:szCs w:val="24"/>
        </w:rPr>
        <w:t xml:space="preserve">što se tiče </w:t>
      </w:r>
      <w:r w:rsidR="000F517C" w:rsidRPr="000F517C">
        <w:rPr>
          <w:rFonts w:ascii="Times New Roman" w:eastAsia="Times New Roman" w:hAnsi="Times New Roman"/>
          <w:bCs/>
          <w:sz w:val="24"/>
          <w:szCs w:val="24"/>
        </w:rPr>
        <w:t xml:space="preserve">redovnih i vanrednih sredstava koja se mogu podneti protiv </w:t>
      </w:r>
      <w:r w:rsidR="001557C1">
        <w:rPr>
          <w:rFonts w:ascii="Times New Roman" w:eastAsia="Times New Roman" w:hAnsi="Times New Roman"/>
          <w:bCs/>
          <w:sz w:val="24"/>
          <w:szCs w:val="24"/>
        </w:rPr>
        <w:t>odluka</w:t>
      </w:r>
      <w:r w:rsidR="000F517C" w:rsidRPr="000F517C">
        <w:rPr>
          <w:rFonts w:ascii="Times New Roman" w:eastAsia="Times New Roman" w:hAnsi="Times New Roman"/>
          <w:bCs/>
          <w:sz w:val="24"/>
          <w:szCs w:val="24"/>
        </w:rPr>
        <w:t xml:space="preserve"> donetih u prvostepenom</w:t>
      </w:r>
      <w:r w:rsidR="001557C1">
        <w:rPr>
          <w:rFonts w:ascii="Times New Roman" w:eastAsia="Times New Roman" w:hAnsi="Times New Roman"/>
          <w:bCs/>
          <w:sz w:val="24"/>
          <w:szCs w:val="24"/>
        </w:rPr>
        <w:t xml:space="preserve"> sudu</w:t>
      </w:r>
      <w:r w:rsidR="000F517C" w:rsidRPr="000F517C">
        <w:rPr>
          <w:rFonts w:ascii="Times New Roman" w:eastAsia="Times New Roman" w:hAnsi="Times New Roman"/>
          <w:bCs/>
          <w:sz w:val="24"/>
          <w:szCs w:val="24"/>
        </w:rPr>
        <w:t xml:space="preserve"> i drugostepenom sudu.</w:t>
      </w:r>
    </w:p>
    <w:p w14:paraId="037A5596" w14:textId="77777777" w:rsidR="000F517C" w:rsidRDefault="000F517C" w:rsidP="008808D7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6412126" w14:textId="766BD8C2" w:rsidR="00547969" w:rsidRDefault="00547969" w:rsidP="008808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8692A00" w14:textId="77777777" w:rsidR="008808D7" w:rsidRPr="00D320CB" w:rsidRDefault="008808D7" w:rsidP="008808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8B5C802" w14:textId="7F1C4C2C" w:rsidR="00236968" w:rsidRPr="00121BE2" w:rsidRDefault="00A66951" w:rsidP="008808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6968" w:rsidRPr="00121BE2">
        <w:rPr>
          <w:rFonts w:ascii="Times New Roman" w:eastAsia="Times New Roman" w:hAnsi="Times New Roman"/>
          <w:b/>
          <w:sz w:val="24"/>
          <w:szCs w:val="24"/>
        </w:rPr>
        <w:t>10</w:t>
      </w:r>
    </w:p>
    <w:p w14:paraId="42661F91" w14:textId="30E7B00A" w:rsidR="001557C1" w:rsidRDefault="001557C1" w:rsidP="008808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57C1">
        <w:rPr>
          <w:rFonts w:ascii="Times New Roman" w:eastAsia="Times New Roman" w:hAnsi="Times New Roman"/>
          <w:b/>
          <w:sz w:val="24"/>
          <w:szCs w:val="24"/>
        </w:rPr>
        <w:t xml:space="preserve">Obračun </w:t>
      </w:r>
      <w:r>
        <w:rPr>
          <w:rFonts w:ascii="Times New Roman" w:eastAsia="Times New Roman" w:hAnsi="Times New Roman"/>
          <w:b/>
          <w:sz w:val="24"/>
          <w:szCs w:val="24"/>
        </w:rPr>
        <w:t>takse</w:t>
      </w:r>
      <w:r w:rsidRPr="001557C1">
        <w:rPr>
          <w:rFonts w:ascii="Times New Roman" w:eastAsia="Times New Roman" w:hAnsi="Times New Roman"/>
          <w:b/>
          <w:sz w:val="24"/>
          <w:szCs w:val="24"/>
        </w:rPr>
        <w:t xml:space="preserve"> za krivične predmete</w:t>
      </w:r>
    </w:p>
    <w:p w14:paraId="6630D735" w14:textId="77777777" w:rsidR="008808D7" w:rsidRDefault="008808D7" w:rsidP="008808D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8BE532" w14:textId="1D8DA4DA" w:rsidR="001557C1" w:rsidRDefault="001557C1" w:rsidP="008808D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557C1">
        <w:rPr>
          <w:rFonts w:ascii="Times New Roman" w:eastAsia="Times New Roman" w:hAnsi="Times New Roman"/>
          <w:sz w:val="24"/>
          <w:szCs w:val="24"/>
        </w:rPr>
        <w:t xml:space="preserve">Za krivični postupak koji je pokrenuo državni tužilac ne plaća se </w:t>
      </w:r>
      <w:r>
        <w:rPr>
          <w:rFonts w:ascii="Times New Roman" w:eastAsia="Times New Roman" w:hAnsi="Times New Roman"/>
          <w:sz w:val="24"/>
          <w:szCs w:val="24"/>
        </w:rPr>
        <w:t>taksa</w:t>
      </w:r>
      <w:r w:rsidRPr="001557C1">
        <w:rPr>
          <w:rFonts w:ascii="Times New Roman" w:eastAsia="Times New Roman" w:hAnsi="Times New Roman"/>
          <w:sz w:val="24"/>
          <w:szCs w:val="24"/>
        </w:rPr>
        <w:t>.</w:t>
      </w:r>
    </w:p>
    <w:p w14:paraId="1A3539F2" w14:textId="77777777" w:rsidR="00944790" w:rsidRDefault="00944790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9B9B01" w14:textId="77777777" w:rsidR="008808D7" w:rsidRDefault="008808D7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00AF1F" w14:textId="3D4CDBAC" w:rsidR="003A1993" w:rsidRPr="00121BE2" w:rsidRDefault="00A66951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A1993" w:rsidRPr="00121BE2">
        <w:rPr>
          <w:rFonts w:ascii="Times New Roman" w:eastAsia="Times New Roman" w:hAnsi="Times New Roman"/>
          <w:b/>
          <w:sz w:val="24"/>
          <w:szCs w:val="24"/>
        </w:rPr>
        <w:t>11</w:t>
      </w:r>
    </w:p>
    <w:p w14:paraId="55921C59" w14:textId="47BD1A14" w:rsidR="001557C1" w:rsidRDefault="001557C1" w:rsidP="00647277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Objavljivanje informacija u vezi sa taksama</w:t>
      </w:r>
    </w:p>
    <w:p w14:paraId="69D32E15" w14:textId="541F7AEF" w:rsidR="001557C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BE50B1">
        <w:rPr>
          <w:rFonts w:ascii="Times New Roman" w:eastAsia="Times New Roman" w:hAnsi="Times New Roman"/>
          <w:sz w:val="24"/>
          <w:szCs w:val="24"/>
        </w:rPr>
        <w:t xml:space="preserve"> </w:t>
      </w:r>
      <w:r w:rsidR="001557C1">
        <w:rPr>
          <w:rFonts w:ascii="Times New Roman" w:eastAsia="Times New Roman" w:hAnsi="Times New Roman"/>
          <w:sz w:val="24"/>
          <w:szCs w:val="24"/>
        </w:rPr>
        <w:t>SSSK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 će obavestiti sve sudove Kosova </w:t>
      </w:r>
      <w:r w:rsidR="001557C1">
        <w:rPr>
          <w:rFonts w:ascii="Times New Roman" w:eastAsia="Times New Roman" w:hAnsi="Times New Roman"/>
          <w:sz w:val="24"/>
          <w:szCs w:val="24"/>
        </w:rPr>
        <w:t>u vezi sa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 ovim uputstvom, </w:t>
      </w:r>
      <w:r w:rsidR="001557C1">
        <w:rPr>
          <w:rFonts w:ascii="Times New Roman" w:eastAsia="Times New Roman" w:hAnsi="Times New Roman"/>
          <w:sz w:val="24"/>
          <w:szCs w:val="24"/>
        </w:rPr>
        <w:t>i biće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 objavljeno na </w:t>
      </w:r>
      <w:r w:rsidR="001557C1">
        <w:rPr>
          <w:rFonts w:ascii="Times New Roman" w:eastAsia="Times New Roman" w:hAnsi="Times New Roman"/>
          <w:sz w:val="24"/>
          <w:szCs w:val="24"/>
        </w:rPr>
        <w:t>internet stranici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 Saveta, na službenim jezicima.</w:t>
      </w:r>
    </w:p>
    <w:p w14:paraId="4796D8CC" w14:textId="72DF4192" w:rsidR="001557C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U svakom sudu mora biti objavljeno jedno ili više obaveštenja u vezi sa ovim Uputstvom zajedno sa </w:t>
      </w:r>
      <w:r w:rsidR="001557C1">
        <w:rPr>
          <w:rFonts w:ascii="Times New Roman" w:eastAsia="Times New Roman" w:hAnsi="Times New Roman"/>
          <w:sz w:val="24"/>
          <w:szCs w:val="24"/>
        </w:rPr>
        <w:t>TST-som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, koja moraju biti postavljena na najvidljivijim mestima, gde se obaveštenja najbolje vide od lica koja ulaze u zgradu suda i zahtevaju usluge od kancelarije za prijem podnesaka, gde se traže informacije, dostavljaju dokumenti, </w:t>
      </w:r>
      <w:r w:rsidR="001557C1">
        <w:rPr>
          <w:rFonts w:ascii="Times New Roman" w:eastAsia="Times New Roman" w:hAnsi="Times New Roman"/>
          <w:sz w:val="24"/>
          <w:szCs w:val="24"/>
        </w:rPr>
        <w:t>i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 plaćaju </w:t>
      </w:r>
      <w:r w:rsidR="001557C1">
        <w:rPr>
          <w:rFonts w:ascii="Times New Roman" w:eastAsia="Times New Roman" w:hAnsi="Times New Roman"/>
          <w:sz w:val="24"/>
          <w:szCs w:val="24"/>
        </w:rPr>
        <w:t>takse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>.</w:t>
      </w:r>
    </w:p>
    <w:p w14:paraId="39036358" w14:textId="26E3C47F" w:rsidR="001557C1" w:rsidRDefault="003C0FA1" w:rsidP="001B68D9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1557C1">
        <w:rPr>
          <w:rFonts w:ascii="Times New Roman" w:eastAsia="Times New Roman" w:hAnsi="Times New Roman"/>
          <w:sz w:val="24"/>
          <w:szCs w:val="24"/>
        </w:rPr>
        <w:t>U vezi sa</w:t>
      </w:r>
      <w:r w:rsidR="001557C1" w:rsidRPr="001557C1">
        <w:rPr>
          <w:rFonts w:ascii="Times New Roman" w:eastAsia="Times New Roman" w:hAnsi="Times New Roman"/>
          <w:sz w:val="24"/>
          <w:szCs w:val="24"/>
        </w:rPr>
        <w:t xml:space="preserve"> ovim uputstvom biće obavešteni Ministarstvo pravde, Ministarstvo ekonomije i finansija, Udruženje sudija Kosova, Udruženje tužilaca Kosova i Advokatska komora Kosova.</w:t>
      </w:r>
    </w:p>
    <w:p w14:paraId="4C5DD1D3" w14:textId="49EEF85E" w:rsidR="00401CCA" w:rsidRDefault="00401CCA" w:rsidP="001B68D9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14:paraId="61A60830" w14:textId="784FD02A" w:rsidR="00C56688" w:rsidRPr="00121BE2" w:rsidRDefault="00A66951" w:rsidP="00401CC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014E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D0597" w:rsidRPr="00121BE2">
        <w:rPr>
          <w:rFonts w:ascii="Times New Roman" w:eastAsia="Times New Roman" w:hAnsi="Times New Roman"/>
          <w:b/>
          <w:sz w:val="24"/>
          <w:szCs w:val="24"/>
        </w:rPr>
        <w:t>12</w:t>
      </w:r>
    </w:p>
    <w:p w14:paraId="39950569" w14:textId="0F1F5857" w:rsidR="00C56688" w:rsidRDefault="001557C1" w:rsidP="00401CCA">
      <w:pPr>
        <w:spacing w:after="360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Tarifa za sudske takse</w:t>
      </w:r>
    </w:p>
    <w:tbl>
      <w:tblPr>
        <w:tblStyle w:val="TableGrid1"/>
        <w:tblW w:w="9355" w:type="dxa"/>
        <w:tblLook w:val="01E0" w:firstRow="1" w:lastRow="1" w:firstColumn="1" w:lastColumn="1" w:noHBand="0" w:noVBand="0"/>
      </w:tblPr>
      <w:tblGrid>
        <w:gridCol w:w="1089"/>
        <w:gridCol w:w="3370"/>
        <w:gridCol w:w="3180"/>
        <w:gridCol w:w="1716"/>
      </w:tblGrid>
      <w:tr w:rsidR="00805D6F" w:rsidRPr="000E7A33" w14:paraId="60D69118" w14:textId="77777777" w:rsidTr="00FF2736">
        <w:tc>
          <w:tcPr>
            <w:tcW w:w="1089" w:type="dxa"/>
          </w:tcPr>
          <w:p w14:paraId="24FD5D2C" w14:textId="77777777" w:rsidR="00C56688" w:rsidRPr="00750FD9" w:rsidRDefault="00C56688" w:rsidP="002606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0" w:type="dxa"/>
          </w:tcPr>
          <w:p w14:paraId="26EC142A" w14:textId="7D5D7154" w:rsidR="00C56688" w:rsidRPr="00BE50B1" w:rsidRDefault="001557C1" w:rsidP="000E7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Artikal</w:t>
            </w:r>
          </w:p>
        </w:tc>
        <w:tc>
          <w:tcPr>
            <w:tcW w:w="3180" w:type="dxa"/>
          </w:tcPr>
          <w:p w14:paraId="49CE450E" w14:textId="40B98AFD" w:rsidR="00C56688" w:rsidRPr="00BE50B1" w:rsidRDefault="001557C1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Vrednost zahteva</w:t>
            </w:r>
          </w:p>
        </w:tc>
        <w:tc>
          <w:tcPr>
            <w:tcW w:w="1716" w:type="dxa"/>
          </w:tcPr>
          <w:p w14:paraId="093C13F7" w14:textId="77777777" w:rsidR="00C56688" w:rsidRPr="00BE50B1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0B1">
              <w:rPr>
                <w:rFonts w:ascii="Times New Roman" w:hAnsi="Times New Roman"/>
                <w:b/>
                <w:i/>
                <w:sz w:val="24"/>
                <w:szCs w:val="24"/>
              </w:rPr>
              <w:t>Taksa</w:t>
            </w:r>
          </w:p>
        </w:tc>
      </w:tr>
      <w:tr w:rsidR="00C56688" w:rsidRPr="000E7A33" w14:paraId="067BE728" w14:textId="77777777" w:rsidTr="005C5D8C">
        <w:tc>
          <w:tcPr>
            <w:tcW w:w="9355" w:type="dxa"/>
            <w:gridSpan w:val="4"/>
          </w:tcPr>
          <w:p w14:paraId="22891F8F" w14:textId="77777777" w:rsidR="004868A1" w:rsidRPr="00750FD9" w:rsidRDefault="004868A1" w:rsidP="000E7A3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018C82A0" w14:textId="023963A7" w:rsidR="00C56688" w:rsidRPr="00BE50B1" w:rsidRDefault="004F3964" w:rsidP="001557C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12.1 </w:t>
            </w:r>
            <w:r w:rsidR="001557C1">
              <w:rPr>
                <w:rFonts w:ascii="Times New Roman" w:hAnsi="Times New Roman"/>
                <w:b/>
                <w:i/>
                <w:sz w:val="26"/>
                <w:szCs w:val="26"/>
              </w:rPr>
              <w:t>Građanski postupci- parnični</w:t>
            </w:r>
          </w:p>
        </w:tc>
      </w:tr>
      <w:tr w:rsidR="008B35DB" w:rsidRPr="000E7A33" w14:paraId="658638DE" w14:textId="77777777" w:rsidTr="00FF2736">
        <w:trPr>
          <w:trHeight w:val="1970"/>
        </w:trPr>
        <w:tc>
          <w:tcPr>
            <w:tcW w:w="1089" w:type="dxa"/>
          </w:tcPr>
          <w:p w14:paraId="5A5F9165" w14:textId="42010F92" w:rsidR="00C56688" w:rsidRPr="00447811" w:rsidRDefault="00C56688" w:rsidP="00DC119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119C" w:rsidRPr="004478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F3964" w:rsidRPr="0044781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14:paraId="01CEA5D1" w14:textId="77777777" w:rsidR="001557C1" w:rsidRPr="001557C1" w:rsidRDefault="001557C1" w:rsidP="001557C1">
            <w:pPr>
              <w:rPr>
                <w:rFonts w:ascii="Times New Roman" w:hAnsi="Times New Roman"/>
                <w:sz w:val="24"/>
                <w:szCs w:val="24"/>
              </w:rPr>
            </w:pPr>
            <w:r w:rsidRPr="001557C1">
              <w:rPr>
                <w:rFonts w:ascii="Times New Roman" w:hAnsi="Times New Roman"/>
                <w:sz w:val="24"/>
                <w:szCs w:val="24"/>
              </w:rPr>
              <w:t>Za tužbe,</w:t>
            </w:r>
          </w:p>
          <w:p w14:paraId="6FBBF80C" w14:textId="21A56CAF" w:rsidR="001557C1" w:rsidRPr="001557C1" w:rsidRDefault="001557C1" w:rsidP="001557C1">
            <w:pPr>
              <w:rPr>
                <w:rFonts w:ascii="Times New Roman" w:hAnsi="Times New Roman"/>
                <w:sz w:val="24"/>
                <w:szCs w:val="24"/>
              </w:rPr>
            </w:pPr>
            <w:r w:rsidRPr="001557C1">
              <w:rPr>
                <w:rFonts w:ascii="Times New Roman" w:hAnsi="Times New Roman"/>
                <w:sz w:val="24"/>
                <w:szCs w:val="24"/>
              </w:rPr>
              <w:t>protivtužb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14:paraId="3C3AB0E0" w14:textId="3FEBEDE0" w:rsidR="001557C1" w:rsidRPr="00750FD9" w:rsidRDefault="001557C1" w:rsidP="001557C1">
            <w:pPr>
              <w:rPr>
                <w:rFonts w:ascii="Times New Roman" w:hAnsi="Times New Roman"/>
                <w:sz w:val="24"/>
                <w:szCs w:val="24"/>
              </w:rPr>
            </w:pPr>
            <w:r w:rsidRPr="001557C1">
              <w:rPr>
                <w:rFonts w:ascii="Times New Roman" w:hAnsi="Times New Roman"/>
                <w:sz w:val="24"/>
                <w:szCs w:val="24"/>
              </w:rPr>
              <w:t>zahtev</w:t>
            </w:r>
            <w:r>
              <w:rPr>
                <w:rFonts w:ascii="Times New Roman" w:hAnsi="Times New Roman"/>
                <w:sz w:val="24"/>
                <w:szCs w:val="24"/>
              </w:rPr>
              <w:t>e za učešće umešača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 xml:space="preserve"> u postu</w:t>
            </w:r>
            <w:r>
              <w:rPr>
                <w:rFonts w:ascii="Times New Roman" w:hAnsi="Times New Roman"/>
                <w:sz w:val="24"/>
                <w:szCs w:val="24"/>
              </w:rPr>
              <w:t>pku kao glavnog umešača, za koje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 xml:space="preserve"> je vrednost merljiva, uključujući sve pr</w:t>
            </w:r>
            <w:r>
              <w:rPr>
                <w:rFonts w:ascii="Times New Roman" w:hAnsi="Times New Roman"/>
                <w:sz w:val="24"/>
                <w:szCs w:val="24"/>
              </w:rPr>
              <w:t>edmete koji se odnose na novčane dugove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>, pokretn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 xml:space="preserve"> ili nepokretn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 xml:space="preserve"> imovin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 xml:space="preserve">, naknadu štete, ugovore </w:t>
            </w:r>
            <w:r>
              <w:rPr>
                <w:rFonts w:ascii="Times New Roman" w:hAnsi="Times New Roman"/>
                <w:sz w:val="24"/>
                <w:szCs w:val="24"/>
              </w:rPr>
              <w:t>sa novčanim vrdnostima itd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63E92" w14:textId="77777777" w:rsidR="00C56688" w:rsidRPr="00750FD9" w:rsidRDefault="00C56688" w:rsidP="000E7A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</w:tcPr>
          <w:p w14:paraId="7EBEB64F" w14:textId="77C8EA97" w:rsidR="001557C1" w:rsidRDefault="001557C1" w:rsidP="008F6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C1">
              <w:rPr>
                <w:rFonts w:ascii="Times New Roman" w:hAnsi="Times New Roman"/>
                <w:sz w:val="24"/>
                <w:szCs w:val="24"/>
              </w:rPr>
              <w:t xml:space="preserve">Nadležni sud kada je </w:t>
            </w:r>
            <w:r>
              <w:rPr>
                <w:rFonts w:ascii="Times New Roman" w:hAnsi="Times New Roman"/>
                <w:sz w:val="24"/>
                <w:szCs w:val="24"/>
              </w:rPr>
              <w:t>zahtev</w:t>
            </w:r>
            <w:r w:rsidRPr="001557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80A2B0" w14:textId="77777777" w:rsidR="008F610B" w:rsidRDefault="008F610B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03857" w14:textId="1FE90681" w:rsidR="00C56688" w:rsidRPr="00953A35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do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669" w:rsidRPr="00953A35">
              <w:rPr>
                <w:rFonts w:ascii="Times New Roman" w:hAnsi="Times New Roman"/>
                <w:sz w:val="24"/>
                <w:szCs w:val="24"/>
              </w:rPr>
              <w:t>5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719DDA18" w14:textId="4C444BC1" w:rsidR="00C56688" w:rsidRPr="00953A35" w:rsidRDefault="001E5AF4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5.001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do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4FC4C0F4" w14:textId="6F9C8AAC" w:rsidR="00C56688" w:rsidRPr="00953A35" w:rsidRDefault="001E5AF4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25.001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do</w:t>
            </w:r>
            <w:r w:rsidR="001557C1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50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4A2B42C2" w14:textId="5F8326B0" w:rsidR="00C56688" w:rsidRPr="00953A35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50.001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do</w:t>
            </w:r>
            <w:r w:rsidR="001557C1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78ACD873" w14:textId="7914AA5D" w:rsidR="00C56688" w:rsidRPr="00750FD9" w:rsidRDefault="001557C1" w:rsidP="00D40BA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preko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  <w:tc>
          <w:tcPr>
            <w:tcW w:w="1716" w:type="dxa"/>
          </w:tcPr>
          <w:p w14:paraId="19F8BB07" w14:textId="77777777" w:rsidR="00C56688" w:rsidRPr="00750FD9" w:rsidRDefault="00C56688" w:rsidP="00260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B01479" w14:textId="77777777" w:rsidR="00D404A3" w:rsidRPr="00750FD9" w:rsidRDefault="00D404A3" w:rsidP="00D40BA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62BA9C5" w14:textId="30903AF9" w:rsidR="00C56688" w:rsidRPr="00953A35" w:rsidRDefault="00F41731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8E50F3" w14:textId="27C1F59A" w:rsidR="00C56688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2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46C45D2F" w14:textId="7ED2DABC" w:rsidR="00C56688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300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781EE548" w14:textId="78085E3E" w:rsidR="009F0A15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142BB1A8" w14:textId="5F5BC518" w:rsidR="00953A35" w:rsidRDefault="009F0A15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1A7D68" w:rsidRPr="00953A35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vrednosti spora do maksimalno</w:t>
            </w:r>
            <w:r w:rsidR="00E214FE" w:rsidRPr="00953A35">
              <w:rPr>
                <w:rFonts w:ascii="Times New Roman" w:hAnsi="Times New Roman"/>
                <w:sz w:val="24"/>
                <w:szCs w:val="24"/>
              </w:rPr>
              <w:t xml:space="preserve">   5,000</w:t>
            </w:r>
            <w:r w:rsidR="00FE1A9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</w:p>
          <w:p w14:paraId="4FBECB33" w14:textId="2DC90759" w:rsidR="00C56688" w:rsidRPr="00953A35" w:rsidRDefault="00E66966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5DB" w:rsidRPr="000E7A33" w14:paraId="09C3DA83" w14:textId="77777777" w:rsidTr="00FF2736">
        <w:trPr>
          <w:trHeight w:val="557"/>
        </w:trPr>
        <w:tc>
          <w:tcPr>
            <w:tcW w:w="1089" w:type="dxa"/>
          </w:tcPr>
          <w:p w14:paraId="1383E6E7" w14:textId="1AE202D1" w:rsidR="00D404A3" w:rsidRPr="00447811" w:rsidRDefault="00D404A3" w:rsidP="00DC119C">
            <w:pPr>
              <w:rPr>
                <w:rFonts w:ascii="Times New Roman" w:hAnsi="Times New Roman"/>
                <w:bCs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4478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14:paraId="463DE311" w14:textId="7C71F4B2" w:rsidR="00D404A3" w:rsidRPr="00750FD9" w:rsidDel="00632341" w:rsidRDefault="001557C1" w:rsidP="00155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Zahtev za običnog umešača</w:t>
            </w:r>
            <w:r w:rsidR="00D404A3" w:rsidRPr="00750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14:paraId="4F3CD107" w14:textId="3CFDF239" w:rsidR="00D404A3" w:rsidRPr="00953A35" w:rsidRDefault="001557C1" w:rsidP="001B64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6B2BC8D1" w14:textId="6F90C91A" w:rsidR="00D404A3" w:rsidRPr="00953A35" w:rsidRDefault="00D404A3" w:rsidP="00953A35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>
              <w:rPr>
                <w:rFonts w:ascii="Times New Roman" w:hAnsi="Times New Roman"/>
                <w:sz w:val="24"/>
                <w:szCs w:val="24"/>
              </w:rPr>
              <w:t>evra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5DB" w:rsidRPr="000E7A33" w14:paraId="4AC51492" w14:textId="77777777" w:rsidTr="00FF2736">
        <w:trPr>
          <w:trHeight w:val="1160"/>
        </w:trPr>
        <w:tc>
          <w:tcPr>
            <w:tcW w:w="1089" w:type="dxa"/>
          </w:tcPr>
          <w:p w14:paraId="787D7201" w14:textId="05F07F91" w:rsidR="00F94E28" w:rsidRPr="005C5D8C" w:rsidRDefault="00F94E28" w:rsidP="00DC119C">
            <w:pPr>
              <w:rPr>
                <w:rFonts w:ascii="Times New Roman" w:hAnsi="Times New Roman"/>
                <w:bCs/>
              </w:rPr>
            </w:pPr>
            <w:r w:rsidRPr="005C5D8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5C5D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2108B" w:rsidRPr="005C5D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14:paraId="4ABB7E26" w14:textId="4056E047" w:rsidR="001557C1" w:rsidRPr="005C5D8C" w:rsidRDefault="001557C1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5C5D8C">
              <w:rPr>
                <w:rFonts w:ascii="Times New Roman" w:hAnsi="Times New Roman"/>
                <w:sz w:val="24"/>
                <w:szCs w:val="24"/>
              </w:rPr>
              <w:t xml:space="preserve">Tužba za razvod braka, </w:t>
            </w:r>
            <w:r w:rsidR="005C5D8C" w:rsidRPr="005C5D8C">
              <w:rPr>
                <w:rFonts w:ascii="Times New Roman" w:hAnsi="Times New Roman"/>
                <w:sz w:val="24"/>
                <w:szCs w:val="24"/>
              </w:rPr>
              <w:t>starateljstvo nad decom</w:t>
            </w:r>
            <w:r w:rsidRPr="005C5D8C">
              <w:rPr>
                <w:rFonts w:ascii="Times New Roman" w:hAnsi="Times New Roman"/>
                <w:sz w:val="24"/>
                <w:szCs w:val="24"/>
              </w:rPr>
              <w:t xml:space="preserve"> i kontakt sa decom.</w:t>
            </w:r>
          </w:p>
          <w:p w14:paraId="7F8B82B3" w14:textId="5FE6C79A" w:rsidR="00F94E28" w:rsidRPr="005C5D8C" w:rsidDel="00632341" w:rsidRDefault="00F94E28" w:rsidP="000E7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622146D" w14:textId="297F0361" w:rsidR="00F94E28" w:rsidRPr="005C5D8C" w:rsidRDefault="001557C1" w:rsidP="001B64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8C">
              <w:rPr>
                <w:rFonts w:ascii="Times New Roman" w:hAnsi="Times New Roman"/>
                <w:sz w:val="24"/>
                <w:szCs w:val="24"/>
              </w:rPr>
              <w:t xml:space="preserve">Nadležni sud </w:t>
            </w:r>
          </w:p>
        </w:tc>
        <w:tc>
          <w:tcPr>
            <w:tcW w:w="1716" w:type="dxa"/>
          </w:tcPr>
          <w:p w14:paraId="047655C5" w14:textId="6722EAFF" w:rsidR="00F94E28" w:rsidRPr="005C5D8C" w:rsidRDefault="00F94E28" w:rsidP="00953A35">
            <w:pPr>
              <w:rPr>
                <w:rFonts w:ascii="Times New Roman" w:hAnsi="Times New Roman"/>
                <w:sz w:val="24"/>
                <w:szCs w:val="24"/>
              </w:rPr>
            </w:pPr>
            <w:r w:rsidRPr="005C5D8C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 w:rsidRPr="005C5D8C">
              <w:rPr>
                <w:rFonts w:ascii="Times New Roman" w:hAnsi="Times New Roman"/>
                <w:sz w:val="24"/>
                <w:szCs w:val="24"/>
              </w:rPr>
              <w:t>.00</w:t>
            </w:r>
            <w:r w:rsidRPr="005C5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1" w:rsidRPr="005C5D8C"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</w:tbl>
    <w:p w14:paraId="303FE6CA" w14:textId="77777777" w:rsidR="00FF2736" w:rsidRPr="001B68D9" w:rsidRDefault="00FF2736" w:rsidP="00FF2736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1"/>
        <w:tblW w:w="9445" w:type="dxa"/>
        <w:tblLook w:val="01E0" w:firstRow="1" w:lastRow="1" w:firstColumn="1" w:lastColumn="1" w:noHBand="0" w:noVBand="0"/>
      </w:tblPr>
      <w:tblGrid>
        <w:gridCol w:w="1092"/>
        <w:gridCol w:w="3395"/>
        <w:gridCol w:w="3242"/>
        <w:gridCol w:w="1716"/>
      </w:tblGrid>
      <w:tr w:rsidR="00FF2736" w:rsidRPr="000E7A33" w14:paraId="71152A02" w14:textId="77777777" w:rsidTr="007B572B">
        <w:trPr>
          <w:trHeight w:val="980"/>
        </w:trPr>
        <w:tc>
          <w:tcPr>
            <w:tcW w:w="1092" w:type="dxa"/>
          </w:tcPr>
          <w:p w14:paraId="1E858F67" w14:textId="77777777" w:rsidR="00FF2736" w:rsidRPr="008F610B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12.1.4</w:t>
            </w:r>
          </w:p>
        </w:tc>
        <w:tc>
          <w:tcPr>
            <w:tcW w:w="3395" w:type="dxa"/>
          </w:tcPr>
          <w:p w14:paraId="04DB28DB" w14:textId="77777777" w:rsidR="00FF2736" w:rsidRPr="002A1311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Tužba za utvrđivanje</w:t>
            </w:r>
            <w:r w:rsidRPr="002A1311">
              <w:rPr>
                <w:rFonts w:ascii="Times New Roman" w:hAnsi="Times New Roman"/>
                <w:sz w:val="24"/>
                <w:szCs w:val="24"/>
              </w:rPr>
              <w:t>/osporavanje očinstva i materinstva.</w:t>
            </w:r>
          </w:p>
          <w:p w14:paraId="66BB0324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2A1311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3242" w:type="dxa"/>
          </w:tcPr>
          <w:p w14:paraId="2F747504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21B9D460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6F3461F9" w14:textId="77777777" w:rsidTr="007B572B">
        <w:trPr>
          <w:trHeight w:val="611"/>
        </w:trPr>
        <w:tc>
          <w:tcPr>
            <w:tcW w:w="1092" w:type="dxa"/>
          </w:tcPr>
          <w:p w14:paraId="53F98556" w14:textId="77777777" w:rsidR="00FF2736" w:rsidRPr="008F610B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12.1.5</w:t>
            </w:r>
          </w:p>
        </w:tc>
        <w:tc>
          <w:tcPr>
            <w:tcW w:w="3395" w:type="dxa"/>
          </w:tcPr>
          <w:p w14:paraId="267D22C3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Tužba za smetanje državine.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29AB699C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2FFF4630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5E536809" w14:textId="77777777" w:rsidTr="007B572B">
        <w:trPr>
          <w:trHeight w:val="710"/>
        </w:trPr>
        <w:tc>
          <w:tcPr>
            <w:tcW w:w="1092" w:type="dxa"/>
          </w:tcPr>
          <w:p w14:paraId="479F72AF" w14:textId="77777777" w:rsidR="00FF2736" w:rsidRPr="008F610B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12.1.6</w:t>
            </w:r>
          </w:p>
        </w:tc>
        <w:tc>
          <w:tcPr>
            <w:tcW w:w="3395" w:type="dxa"/>
          </w:tcPr>
          <w:p w14:paraId="4AFF8CB3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Tužba za narušavanje/uznemiravanje vlasništva. </w:t>
            </w:r>
          </w:p>
        </w:tc>
        <w:tc>
          <w:tcPr>
            <w:tcW w:w="3242" w:type="dxa"/>
          </w:tcPr>
          <w:p w14:paraId="48C582CC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5C37A8CB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046B32D9" w14:textId="77777777" w:rsidTr="007B572B">
        <w:trPr>
          <w:trHeight w:val="620"/>
        </w:trPr>
        <w:tc>
          <w:tcPr>
            <w:tcW w:w="1092" w:type="dxa"/>
          </w:tcPr>
          <w:p w14:paraId="40CAF783" w14:textId="77777777" w:rsidR="00FF2736" w:rsidRPr="008F610B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12.1.7</w:t>
            </w:r>
          </w:p>
        </w:tc>
        <w:tc>
          <w:tcPr>
            <w:tcW w:w="3395" w:type="dxa"/>
          </w:tcPr>
          <w:p w14:paraId="4586390D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Tužba za služnost. </w:t>
            </w:r>
          </w:p>
        </w:tc>
        <w:tc>
          <w:tcPr>
            <w:tcW w:w="3242" w:type="dxa"/>
          </w:tcPr>
          <w:p w14:paraId="4947871B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5816F96A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  <w:tr w:rsidR="00FF2736" w:rsidRPr="000E7A33" w14:paraId="78513A86" w14:textId="77777777" w:rsidTr="007B572B">
        <w:trPr>
          <w:trHeight w:val="620"/>
        </w:trPr>
        <w:tc>
          <w:tcPr>
            <w:tcW w:w="1092" w:type="dxa"/>
          </w:tcPr>
          <w:p w14:paraId="1F8A726B" w14:textId="77777777" w:rsidR="00FF2736" w:rsidRPr="008F610B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12.1.8</w:t>
            </w:r>
          </w:p>
        </w:tc>
        <w:tc>
          <w:tcPr>
            <w:tcW w:w="3395" w:type="dxa"/>
          </w:tcPr>
          <w:p w14:paraId="1D544692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Predlog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zahtev za obezbeđenje dokaza. </w:t>
            </w:r>
          </w:p>
        </w:tc>
        <w:tc>
          <w:tcPr>
            <w:tcW w:w="3242" w:type="dxa"/>
          </w:tcPr>
          <w:p w14:paraId="4523FE65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10E33ABE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  <w:tr w:rsidR="00FF2736" w:rsidRPr="000E7A33" w14:paraId="6B9947BD" w14:textId="77777777" w:rsidTr="007B572B">
        <w:trPr>
          <w:trHeight w:val="620"/>
        </w:trPr>
        <w:tc>
          <w:tcPr>
            <w:tcW w:w="1092" w:type="dxa"/>
          </w:tcPr>
          <w:p w14:paraId="5F3F2D06" w14:textId="77777777" w:rsidR="00FF2736" w:rsidRPr="008F610B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12.1.9</w:t>
            </w:r>
          </w:p>
        </w:tc>
        <w:tc>
          <w:tcPr>
            <w:tcW w:w="3395" w:type="dxa"/>
          </w:tcPr>
          <w:p w14:paraId="15AF333F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217DCC">
              <w:rPr>
                <w:rFonts w:ascii="Times New Roman" w:hAnsi="Times New Roman"/>
                <w:sz w:val="24"/>
                <w:szCs w:val="24"/>
              </w:rPr>
              <w:t>Zahtev za izuzec</w:t>
            </w:r>
            <w:r>
              <w:rPr>
                <w:rFonts w:ascii="Times New Roman" w:hAnsi="Times New Roman"/>
                <w:sz w:val="24"/>
                <w:szCs w:val="24"/>
              </w:rPr>
              <w:t>́e sudije/predsednika sudskog veća.</w:t>
            </w:r>
          </w:p>
        </w:tc>
        <w:tc>
          <w:tcPr>
            <w:tcW w:w="3242" w:type="dxa"/>
          </w:tcPr>
          <w:p w14:paraId="7D4DB939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29C7A889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  <w:tr w:rsidR="00FF2736" w:rsidRPr="000E7A33" w14:paraId="4193D1AE" w14:textId="77777777" w:rsidTr="007B572B">
        <w:trPr>
          <w:trHeight w:val="620"/>
        </w:trPr>
        <w:tc>
          <w:tcPr>
            <w:tcW w:w="1092" w:type="dxa"/>
          </w:tcPr>
          <w:p w14:paraId="726211CC" w14:textId="77777777" w:rsidR="00FF2736" w:rsidRPr="008F610B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12.1.10.</w:t>
            </w:r>
          </w:p>
        </w:tc>
        <w:tc>
          <w:tcPr>
            <w:tcW w:w="3395" w:type="dxa"/>
          </w:tcPr>
          <w:p w14:paraId="3751ADEE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redovne i vanredne pravne lekove napadanja </w:t>
            </w:r>
          </w:p>
        </w:tc>
        <w:tc>
          <w:tcPr>
            <w:tcW w:w="3242" w:type="dxa"/>
          </w:tcPr>
          <w:p w14:paraId="538A4FD0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7C24BBEB" w14:textId="77777777" w:rsidR="00FF2736" w:rsidRPr="00217DC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/>
                <w:sz w:val="24"/>
                <w:szCs w:val="24"/>
              </w:rPr>
              <w:t>takse  plaćene</w:t>
            </w:r>
            <w:r w:rsidRPr="00217DCC">
              <w:rPr>
                <w:rFonts w:ascii="Times New Roman" w:hAnsi="Times New Roman"/>
                <w:sz w:val="24"/>
                <w:szCs w:val="24"/>
              </w:rPr>
              <w:t xml:space="preserve"> za podnesak kojim je pokrenut parnični postupak</w:t>
            </w:r>
          </w:p>
          <w:p w14:paraId="284A3303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217DCC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</w:tr>
      <w:tr w:rsidR="00FF2736" w:rsidRPr="000E7A33" w14:paraId="73BBB344" w14:textId="77777777" w:rsidTr="007B572B">
        <w:trPr>
          <w:trHeight w:val="620"/>
        </w:trPr>
        <w:tc>
          <w:tcPr>
            <w:tcW w:w="1092" w:type="dxa"/>
          </w:tcPr>
          <w:p w14:paraId="5EDFE703" w14:textId="77777777" w:rsidR="00FF2736" w:rsidRPr="00750FD9" w:rsidRDefault="00FF2736" w:rsidP="007B57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AE4005" w14:textId="77777777" w:rsidR="00FF2736" w:rsidRPr="00750FD9" w:rsidRDefault="00FF2736" w:rsidP="007B57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DAE92B" w14:textId="77777777" w:rsidR="00FF2736" w:rsidRPr="004E1153" w:rsidRDefault="00FF2736" w:rsidP="007B572B">
            <w:pPr>
              <w:rPr>
                <w:rFonts w:ascii="Times New Roman" w:hAnsi="Times New Roman"/>
                <w:bCs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t>12.1.11</w:t>
            </w:r>
          </w:p>
        </w:tc>
        <w:tc>
          <w:tcPr>
            <w:tcW w:w="3395" w:type="dxa"/>
          </w:tcPr>
          <w:p w14:paraId="222FD8EF" w14:textId="77777777" w:rsidR="00FF2736" w:rsidRPr="00217DC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17DCC">
              <w:rPr>
                <w:rFonts w:ascii="Times New Roman" w:hAnsi="Times New Roman"/>
                <w:sz w:val="24"/>
                <w:szCs w:val="24"/>
              </w:rPr>
              <w:t>vi ostali podnesci koji nisu predviđeni u ovoj tački.</w:t>
            </w:r>
          </w:p>
          <w:p w14:paraId="20A21926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217DCC">
              <w:rPr>
                <w:rFonts w:ascii="Times New Roman" w:hAnsi="Times New Roman"/>
                <w:sz w:val="24"/>
                <w:szCs w:val="24"/>
              </w:rPr>
              <w:t>​</w:t>
            </w:r>
          </w:p>
          <w:p w14:paraId="05AB95DC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42" w:type="dxa"/>
          </w:tcPr>
          <w:p w14:paraId="22A0BE3D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0BAEEF2C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1A29A0" w14:textId="77777777" w:rsidR="00FF2736" w:rsidRPr="00953A35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2736" w:rsidRPr="000E7A33" w14:paraId="4E4BC0C2" w14:textId="77777777" w:rsidTr="007B572B">
        <w:trPr>
          <w:trHeight w:val="602"/>
        </w:trPr>
        <w:tc>
          <w:tcPr>
            <w:tcW w:w="9445" w:type="dxa"/>
            <w:gridSpan w:val="4"/>
          </w:tcPr>
          <w:p w14:paraId="02D9373C" w14:textId="77777777" w:rsidR="00FF2736" w:rsidRPr="00C14430" w:rsidRDefault="00FF2736" w:rsidP="007B57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28B244" w14:textId="77777777" w:rsidR="00FF2736" w:rsidRPr="00C14430" w:rsidRDefault="00FF2736" w:rsidP="007B57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  <w:sz w:val="26"/>
                <w:szCs w:val="26"/>
              </w:rPr>
              <w:t>12.2</w:t>
            </w:r>
            <w:r w:rsidRPr="00953A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Građanski postupci – Vanparnični </w:t>
            </w:r>
          </w:p>
        </w:tc>
      </w:tr>
      <w:tr w:rsidR="00FF2736" w:rsidRPr="000E7A33" w14:paraId="1186AFA0" w14:textId="77777777" w:rsidTr="007B572B">
        <w:trPr>
          <w:trHeight w:val="1430"/>
        </w:trPr>
        <w:tc>
          <w:tcPr>
            <w:tcW w:w="1092" w:type="dxa"/>
          </w:tcPr>
          <w:p w14:paraId="4B2EAC17" w14:textId="77777777" w:rsidR="00FF2736" w:rsidRPr="004E1153" w:rsidRDefault="00FF2736" w:rsidP="007B572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t>12.2.1</w:t>
            </w:r>
          </w:p>
        </w:tc>
        <w:tc>
          <w:tcPr>
            <w:tcW w:w="3395" w:type="dxa"/>
          </w:tcPr>
          <w:p w14:paraId="588CD17C" w14:textId="77777777" w:rsidR="00FF2736" w:rsidRPr="000A6B5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Predlozi koji se tiču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4D67CD" w14:textId="77777777" w:rsidR="00FF2736" w:rsidRPr="000A6B5A" w:rsidRDefault="00FF2736" w:rsidP="007B572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0D93F094" w14:textId="77777777" w:rsidR="00FF2736" w:rsidRPr="00762FE6" w:rsidRDefault="00FF2736" w:rsidP="007B572B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uređenje međa</w:t>
            </w:r>
            <w:r w:rsidRPr="00762FE6">
              <w:rPr>
                <w:rFonts w:ascii="Times New Roman" w:hAnsi="Times New Roman"/>
                <w:sz w:val="24"/>
                <w:szCs w:val="24"/>
              </w:rPr>
              <w:t>, fizičko odvajanje, upravljanje i korišćenje zajedničkih stvari za parcelu;</w:t>
            </w:r>
          </w:p>
          <w:p w14:paraId="7F810DB7" w14:textId="77777777" w:rsidR="00FF2736" w:rsidRPr="000A6B5A" w:rsidRDefault="00FF2736" w:rsidP="007B572B">
            <w:pPr>
              <w:pStyle w:val="List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F82F47" w14:textId="77777777" w:rsidR="00FF2736" w:rsidRPr="000A6B5A" w:rsidRDefault="00FF2736" w:rsidP="007B572B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dve (2) do pet  (5) parcela;</w:t>
            </w:r>
          </w:p>
          <w:p w14:paraId="103A6BC5" w14:textId="77777777" w:rsidR="00FF2736" w:rsidRPr="000A6B5A" w:rsidRDefault="00FF2736" w:rsidP="007B572B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pet (5) do deset (10) parcela;</w:t>
            </w:r>
          </w:p>
          <w:p w14:paraId="2C452827" w14:textId="77777777" w:rsidR="00FF2736" w:rsidRPr="000A6B5A" w:rsidRDefault="00FF2736" w:rsidP="007B572B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Preko deset  (10) parcela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2233DC" w14:textId="77777777" w:rsidR="00FF2736" w:rsidRPr="000A6B5A" w:rsidRDefault="00FF2736" w:rsidP="007B572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5F2C7B00" w14:textId="77777777" w:rsidR="00FF2736" w:rsidRPr="000A6B5A" w:rsidRDefault="00FF2736" w:rsidP="007B572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4877A769" w14:textId="77777777" w:rsidR="00FF2736" w:rsidRPr="000A6B5A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5E3D03" w14:textId="77777777" w:rsidR="00FF2736" w:rsidRPr="000A6B5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77C14" w14:textId="77777777" w:rsidR="00FF2736" w:rsidRPr="000A6B5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  <w:p w14:paraId="423FB287" w14:textId="77777777" w:rsidR="00FF2736" w:rsidRPr="000A6B5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0C5C7" w14:textId="77777777" w:rsidR="00FF2736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029E0" w14:textId="77777777" w:rsidR="00FF2736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35442" w14:textId="77777777" w:rsidR="00FF2736" w:rsidRPr="000A6B5A" w:rsidRDefault="00FF2736" w:rsidP="007B57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  <w:p w14:paraId="2A7458AC" w14:textId="77777777" w:rsidR="00FF2736" w:rsidRPr="000A6B5A" w:rsidRDefault="00FF2736" w:rsidP="007B57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  <w:p w14:paraId="4C7A7927" w14:textId="77777777" w:rsidR="00FF2736" w:rsidRPr="000A6B5A" w:rsidRDefault="00FF2736" w:rsidP="007B57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  <w:tr w:rsidR="00FF2736" w:rsidRPr="000E7A33" w14:paraId="4E815FDE" w14:textId="77777777" w:rsidTr="007B572B">
        <w:trPr>
          <w:trHeight w:val="1691"/>
        </w:trPr>
        <w:tc>
          <w:tcPr>
            <w:tcW w:w="1092" w:type="dxa"/>
          </w:tcPr>
          <w:p w14:paraId="770C5A86" w14:textId="77777777" w:rsidR="00FF2736" w:rsidRPr="004E1153" w:rsidRDefault="00FF2736" w:rsidP="007B572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t>12.2.2</w:t>
            </w:r>
          </w:p>
        </w:tc>
        <w:tc>
          <w:tcPr>
            <w:tcW w:w="3395" w:type="dxa"/>
          </w:tcPr>
          <w:p w14:paraId="2FF9B8DF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t>Podnošenje predloga o statusnim pitanjima, uključujući:</w:t>
            </w:r>
          </w:p>
          <w:p w14:paraId="1A3615F6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oduzimanje</w:t>
            </w:r>
            <w:r w:rsidRPr="000F788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vraćanje poslovne sposobnosti</w:t>
            </w:r>
            <w:r w:rsidRPr="000F7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F534C4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proglašenje  o nestanku</w:t>
            </w:r>
            <w:r w:rsidRPr="000F788F">
              <w:rPr>
                <w:rFonts w:ascii="Times New Roman" w:hAnsi="Times New Roman"/>
                <w:sz w:val="24"/>
                <w:szCs w:val="24"/>
              </w:rPr>
              <w:t xml:space="preserve"> lica;</w:t>
            </w:r>
          </w:p>
          <w:p w14:paraId="04F6181A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proglašenje o </w:t>
            </w:r>
            <w:r w:rsidRPr="000F788F">
              <w:rPr>
                <w:rFonts w:ascii="Times New Roman" w:hAnsi="Times New Roman"/>
                <w:sz w:val="24"/>
                <w:szCs w:val="24"/>
              </w:rPr>
              <w:t xml:space="preserve"> smrti lica;</w:t>
            </w:r>
          </w:p>
          <w:p w14:paraId="70074933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t>- postupak dokazivanja smrti lica;</w:t>
            </w:r>
          </w:p>
          <w:p w14:paraId="62902CBA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t>- smeštanje i zadržavanje duševno obolelih u zdravstvenoj ustanovi;</w:t>
            </w:r>
          </w:p>
          <w:p w14:paraId="5010B782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lastRenderedPageBreak/>
              <w:t>- nastavak i prestanak roditeljskog prava;</w:t>
            </w:r>
          </w:p>
          <w:p w14:paraId="2C5CCB32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t>- oduzimanje i vraćanje roditeljskog prava;</w:t>
            </w:r>
          </w:p>
          <w:p w14:paraId="7EEC1640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t>- davanje saglasnosti za sklapanje braka;</w:t>
            </w:r>
          </w:p>
          <w:p w14:paraId="421E9454" w14:textId="77777777" w:rsidR="00FF2736" w:rsidRPr="000F788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t>- usvojenje deteta;</w:t>
            </w:r>
          </w:p>
          <w:p w14:paraId="2A2D36C1" w14:textId="77777777" w:rsidR="00FF2736" w:rsidRPr="000A6B5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F788F">
              <w:rPr>
                <w:rFonts w:ascii="Times New Roman" w:hAnsi="Times New Roman"/>
                <w:sz w:val="24"/>
                <w:szCs w:val="24"/>
              </w:rPr>
              <w:t>- i drugi predlozi.</w:t>
            </w:r>
          </w:p>
        </w:tc>
        <w:tc>
          <w:tcPr>
            <w:tcW w:w="3242" w:type="dxa"/>
          </w:tcPr>
          <w:p w14:paraId="239A5498" w14:textId="77777777" w:rsidR="00FF2736" w:rsidRPr="000A6B5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Nadležni sud</w:t>
            </w:r>
          </w:p>
        </w:tc>
        <w:tc>
          <w:tcPr>
            <w:tcW w:w="1716" w:type="dxa"/>
          </w:tcPr>
          <w:p w14:paraId="72AC13D2" w14:textId="77777777" w:rsidR="00FF2736" w:rsidRPr="000A6B5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5FE97C52" w14:textId="77777777" w:rsidTr="007B572B">
        <w:tc>
          <w:tcPr>
            <w:tcW w:w="1092" w:type="dxa"/>
          </w:tcPr>
          <w:p w14:paraId="544795CC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12.2.3</w:t>
            </w:r>
          </w:p>
        </w:tc>
        <w:tc>
          <w:tcPr>
            <w:tcW w:w="3395" w:type="dxa"/>
          </w:tcPr>
          <w:p w14:paraId="594A9E41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Priznanje strane presude. 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A61A14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5432B68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5CE5332F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evra</w:t>
            </w:r>
          </w:p>
        </w:tc>
      </w:tr>
      <w:tr w:rsidR="00FF2736" w:rsidRPr="000E7A33" w14:paraId="7EE1877E" w14:textId="77777777" w:rsidTr="007B572B">
        <w:trPr>
          <w:trHeight w:val="485"/>
        </w:trPr>
        <w:tc>
          <w:tcPr>
            <w:tcW w:w="1092" w:type="dxa"/>
          </w:tcPr>
          <w:p w14:paraId="1B53455C" w14:textId="77777777" w:rsidR="00FF2736" w:rsidRPr="00BB3DD4" w:rsidRDefault="00FF2736" w:rsidP="007B572B">
            <w:pPr>
              <w:rPr>
                <w:rFonts w:ascii="Times New Roman" w:hAnsi="Times New Roman"/>
                <w:bCs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12.2.4</w:t>
            </w:r>
          </w:p>
        </w:tc>
        <w:tc>
          <w:tcPr>
            <w:tcW w:w="3395" w:type="dxa"/>
          </w:tcPr>
          <w:p w14:paraId="64989FA7" w14:textId="77777777" w:rsidR="00FF2736" w:rsidRDefault="00FF2736" w:rsidP="007B572B">
            <w:pPr>
              <w:rPr>
                <w:rFonts w:ascii="Times New Roman" w:hAnsi="Times New Roman"/>
                <w:sz w:val="24"/>
                <w:szCs w:val="22"/>
              </w:rPr>
            </w:pPr>
            <w:r w:rsidRPr="000F788F">
              <w:rPr>
                <w:rFonts w:ascii="Times New Roman" w:hAnsi="Times New Roman"/>
                <w:sz w:val="24"/>
                <w:szCs w:val="22"/>
              </w:rPr>
              <w:t>Razmatranje nasleđa kao i zahtevi po osnovu eksproprijacije nepokretnosti koji se rešavaju u skladu sa Zakonom o vanparničnom postupku i Zakonom o eksproprijaciji nepokretnosti.</w:t>
            </w:r>
          </w:p>
          <w:p w14:paraId="4E31C393" w14:textId="77777777" w:rsidR="00FF2736" w:rsidRDefault="00FF2736" w:rsidP="007B572B">
            <w:pPr>
              <w:rPr>
                <w:rFonts w:ascii="Times New Roman" w:hAnsi="Times New Roman"/>
                <w:sz w:val="24"/>
                <w:szCs w:val="22"/>
              </w:rPr>
            </w:pPr>
          </w:p>
          <w:p w14:paraId="6628CC8C" w14:textId="77777777" w:rsidR="00FF2736" w:rsidRPr="00845047" w:rsidRDefault="00FF2736" w:rsidP="007B572B">
            <w:pPr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14:paraId="463BF126" w14:textId="77777777" w:rsidR="00FF2736" w:rsidRPr="004E1153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1AE">
              <w:rPr>
                <w:rFonts w:ascii="Times New Roman" w:hAnsi="Times New Roman"/>
                <w:sz w:val="24"/>
                <w:szCs w:val="24"/>
              </w:rPr>
              <w:t>Nadležni sud kada je zahtev:</w:t>
            </w:r>
          </w:p>
          <w:p w14:paraId="049F13ED" w14:textId="77777777" w:rsidR="00FF2736" w:rsidRPr="004E1153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CC2BC2" w14:textId="77777777" w:rsidR="00FF2736" w:rsidRPr="004E1153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do 5,000.00 evra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B7A850" w14:textId="77777777" w:rsidR="00FF2736" w:rsidRPr="004E1153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5.001.00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25,000.00 </w:t>
            </w:r>
            <w:r w:rsidRPr="004E1153" w:rsidDel="00DF19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</w:p>
          <w:p w14:paraId="74C0E20C" w14:textId="77777777" w:rsidR="00FF2736" w:rsidRPr="004E1153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25.001.00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50,000.00 evra</w:t>
            </w:r>
          </w:p>
          <w:p w14:paraId="26ACD029" w14:textId="77777777" w:rsidR="00FF2736" w:rsidRPr="004E1153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50.001.00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100,000.00 evra</w:t>
            </w:r>
          </w:p>
          <w:p w14:paraId="4EBA7AA7" w14:textId="77777777" w:rsidR="00FF2736" w:rsidRPr="00845047" w:rsidRDefault="00FF2736" w:rsidP="007B5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Preko 100,000.00 evra</w:t>
            </w:r>
          </w:p>
        </w:tc>
        <w:tc>
          <w:tcPr>
            <w:tcW w:w="1716" w:type="dxa"/>
          </w:tcPr>
          <w:p w14:paraId="630036A0" w14:textId="77777777" w:rsidR="00FF2736" w:rsidRPr="00845047" w:rsidRDefault="00FF2736" w:rsidP="007B572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1A3C8FCA" w14:textId="77777777" w:rsidR="00FF2736" w:rsidRPr="00845047" w:rsidRDefault="00FF2736" w:rsidP="007B572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064EEEF" w14:textId="77777777" w:rsidR="00FF2736" w:rsidRDefault="00FF2736" w:rsidP="007B572B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B2F034A" w14:textId="77777777" w:rsidR="00FF2736" w:rsidRPr="004E1153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</w:p>
          <w:p w14:paraId="359E1E20" w14:textId="77777777" w:rsidR="00FF2736" w:rsidRPr="004E1153" w:rsidRDefault="00FF2736" w:rsidP="007B572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</w:p>
          <w:p w14:paraId="0DF68F37" w14:textId="77777777" w:rsidR="00FF2736" w:rsidRPr="004E1153" w:rsidRDefault="00FF2736" w:rsidP="007B572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</w:p>
          <w:p w14:paraId="46E0DF70" w14:textId="77777777" w:rsidR="00FF2736" w:rsidRPr="004E1153" w:rsidRDefault="00FF2736" w:rsidP="007B572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</w:p>
          <w:p w14:paraId="3BE896D7" w14:textId="77777777" w:rsidR="00FF2736" w:rsidRPr="00007C41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 xml:space="preserve">500 + 0.5 % </w:t>
            </w:r>
            <w:r w:rsidRPr="00007C41">
              <w:rPr>
                <w:rFonts w:ascii="Times New Roman" w:hAnsi="Times New Roman"/>
                <w:sz w:val="24"/>
                <w:szCs w:val="24"/>
              </w:rPr>
              <w:t>vrednost spora</w:t>
            </w:r>
          </w:p>
          <w:p w14:paraId="64EF9710" w14:textId="77777777" w:rsidR="00FF2736" w:rsidRPr="00007C41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maksimum</w:t>
            </w:r>
          </w:p>
          <w:p w14:paraId="56831C4D" w14:textId="77777777" w:rsidR="00FF2736" w:rsidRPr="00007C41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,000 evra</w:t>
            </w:r>
            <w:r w:rsidRPr="004E1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2736" w:rsidRPr="000E7A33" w14:paraId="746499C8" w14:textId="77777777" w:rsidTr="007B572B">
        <w:trPr>
          <w:trHeight w:val="485"/>
        </w:trPr>
        <w:tc>
          <w:tcPr>
            <w:tcW w:w="1092" w:type="dxa"/>
          </w:tcPr>
          <w:p w14:paraId="2D17DE97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12.2.5</w:t>
            </w:r>
          </w:p>
        </w:tc>
        <w:tc>
          <w:tcPr>
            <w:tcW w:w="3395" w:type="dxa"/>
          </w:tcPr>
          <w:p w14:paraId="07C31D67" w14:textId="77777777" w:rsidR="00FF2736" w:rsidRPr="00007C41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07C41">
              <w:rPr>
                <w:rFonts w:ascii="Times New Roman" w:hAnsi="Times New Roman"/>
                <w:sz w:val="24"/>
                <w:szCs w:val="24"/>
              </w:rPr>
              <w:t>Sastavljanje, izmena i čuvanje testamenta.</w:t>
            </w:r>
          </w:p>
          <w:p w14:paraId="634BA406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07C41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3242" w:type="dxa"/>
          </w:tcPr>
          <w:p w14:paraId="67E06F71" w14:textId="77777777" w:rsidR="00FF2736" w:rsidRPr="00845047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28202628" w14:textId="77777777" w:rsidR="00FF2736" w:rsidRPr="00845047" w:rsidRDefault="00FF2736" w:rsidP="007B57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Euro.</w:t>
            </w:r>
          </w:p>
        </w:tc>
      </w:tr>
      <w:tr w:rsidR="00FF2736" w:rsidRPr="000E7A33" w14:paraId="3FC67714" w14:textId="77777777" w:rsidTr="007B572B">
        <w:tc>
          <w:tcPr>
            <w:tcW w:w="1092" w:type="dxa"/>
          </w:tcPr>
          <w:p w14:paraId="526C71E9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12.2.6</w:t>
            </w:r>
          </w:p>
        </w:tc>
        <w:tc>
          <w:tcPr>
            <w:tcW w:w="3395" w:type="dxa"/>
          </w:tcPr>
          <w:p w14:paraId="255AD2FC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Zahtev za izuzeće sudije. </w:t>
            </w:r>
          </w:p>
        </w:tc>
        <w:tc>
          <w:tcPr>
            <w:tcW w:w="3242" w:type="dxa"/>
          </w:tcPr>
          <w:p w14:paraId="285CD122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0BCFD90D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FF2736" w:rsidRPr="000E7A33" w14:paraId="4C47175D" w14:textId="77777777" w:rsidTr="007B572B">
        <w:tc>
          <w:tcPr>
            <w:tcW w:w="1092" w:type="dxa"/>
          </w:tcPr>
          <w:p w14:paraId="3BD30C50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12.2.7</w:t>
            </w:r>
          </w:p>
        </w:tc>
        <w:tc>
          <w:tcPr>
            <w:tcW w:w="3395" w:type="dxa"/>
          </w:tcPr>
          <w:p w14:paraId="2A8C2EEF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redovne i vanredne pravne lekove napadanja </w:t>
            </w:r>
          </w:p>
        </w:tc>
        <w:tc>
          <w:tcPr>
            <w:tcW w:w="3242" w:type="dxa"/>
          </w:tcPr>
          <w:p w14:paraId="5EF14071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6842230A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50% e </w:t>
            </w:r>
            <w:r>
              <w:rPr>
                <w:rFonts w:ascii="Times New Roman" w:hAnsi="Times New Roman"/>
                <w:sz w:val="24"/>
                <w:szCs w:val="24"/>
              </w:rPr>
              <w:t>plaćene takse za podnesak kojim je pokrenuta građanski vanparnični postupak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F2736" w:rsidRPr="000E7A33" w14:paraId="12780246" w14:textId="77777777" w:rsidTr="007B572B">
        <w:trPr>
          <w:trHeight w:val="1043"/>
        </w:trPr>
        <w:tc>
          <w:tcPr>
            <w:tcW w:w="1092" w:type="dxa"/>
          </w:tcPr>
          <w:p w14:paraId="5E5837BB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12.2.8</w:t>
            </w:r>
          </w:p>
        </w:tc>
        <w:tc>
          <w:tcPr>
            <w:tcW w:w="3395" w:type="dxa"/>
          </w:tcPr>
          <w:p w14:paraId="795EDED1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7C41">
              <w:rPr>
                <w:rFonts w:ascii="Times New Roman" w:hAnsi="Times New Roman"/>
                <w:sz w:val="24"/>
                <w:szCs w:val="24"/>
              </w:rPr>
              <w:t>Svi ostali podnesci koji nisu predviđeni u ovoj tački.</w:t>
            </w:r>
          </w:p>
        </w:tc>
        <w:tc>
          <w:tcPr>
            <w:tcW w:w="3242" w:type="dxa"/>
          </w:tcPr>
          <w:p w14:paraId="4796E89E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0366D66F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evra 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3D1C6B" w14:textId="77777777" w:rsidR="00FF2736" w:rsidRPr="00845047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2736" w:rsidRPr="000E7A33" w14:paraId="0289B380" w14:textId="77777777" w:rsidTr="007B572B">
        <w:trPr>
          <w:trHeight w:val="611"/>
        </w:trPr>
        <w:tc>
          <w:tcPr>
            <w:tcW w:w="9445" w:type="dxa"/>
            <w:gridSpan w:val="4"/>
          </w:tcPr>
          <w:p w14:paraId="20FC0342" w14:textId="77777777" w:rsidR="00FF2736" w:rsidRDefault="00FF2736" w:rsidP="007B572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7F15CDEB" w14:textId="77777777" w:rsidR="00FF2736" w:rsidRPr="00BB3DD4" w:rsidRDefault="00FF2736" w:rsidP="007B572B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BB3DD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12.3 </w:t>
            </w: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Izvršni postupak </w:t>
            </w:r>
          </w:p>
        </w:tc>
      </w:tr>
      <w:tr w:rsidR="00FF2736" w:rsidRPr="000E7A33" w14:paraId="6CF7A781" w14:textId="77777777" w:rsidTr="007B572B">
        <w:tc>
          <w:tcPr>
            <w:tcW w:w="1092" w:type="dxa"/>
          </w:tcPr>
          <w:p w14:paraId="77B7E42D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12.3.1</w:t>
            </w:r>
          </w:p>
        </w:tc>
        <w:tc>
          <w:tcPr>
            <w:tcW w:w="3395" w:type="dxa"/>
          </w:tcPr>
          <w:p w14:paraId="64B998C5" w14:textId="77777777" w:rsidR="00FF2736" w:rsidRPr="00574EDC" w:rsidDel="006B254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07C41">
              <w:rPr>
                <w:rFonts w:ascii="Times New Roman" w:hAnsi="Times New Roman"/>
                <w:sz w:val="24"/>
                <w:szCs w:val="24"/>
              </w:rPr>
              <w:t>Za pred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log za vraćanje zaposlenog na poslu od strane suda </w:t>
            </w:r>
            <w:r w:rsidRPr="00007C41">
              <w:rPr>
                <w:rFonts w:ascii="Times New Roman" w:hAnsi="Times New Roman"/>
                <w:sz w:val="24"/>
                <w:szCs w:val="24"/>
              </w:rPr>
              <w:t xml:space="preserve"> kao izvršni organ.</w:t>
            </w:r>
          </w:p>
        </w:tc>
        <w:tc>
          <w:tcPr>
            <w:tcW w:w="3242" w:type="dxa"/>
          </w:tcPr>
          <w:p w14:paraId="3F26A93D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493763AC" w14:textId="77777777" w:rsidR="00FF2736" w:rsidRPr="00574EDC" w:rsidDel="00781E0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0A457EEF" w14:textId="77777777" w:rsidTr="007B572B">
        <w:tc>
          <w:tcPr>
            <w:tcW w:w="1092" w:type="dxa"/>
          </w:tcPr>
          <w:p w14:paraId="73E200E3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12.3.3</w:t>
            </w:r>
          </w:p>
        </w:tc>
        <w:tc>
          <w:tcPr>
            <w:tcW w:w="3395" w:type="dxa"/>
          </w:tcPr>
          <w:p w14:paraId="4048FC93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zahtev za izuzeće sudije ili privatnog izvršitelja..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4B0E73D6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047EA9D2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5038B6B9" w14:textId="77777777" w:rsidTr="007B572B">
        <w:tc>
          <w:tcPr>
            <w:tcW w:w="1092" w:type="dxa"/>
          </w:tcPr>
          <w:p w14:paraId="27235FA8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12.3.2</w:t>
            </w:r>
          </w:p>
        </w:tc>
        <w:tc>
          <w:tcPr>
            <w:tcW w:w="3395" w:type="dxa"/>
          </w:tcPr>
          <w:p w14:paraId="131978CA" w14:textId="77777777" w:rsidR="00FF2736" w:rsidRPr="00574EDC" w:rsidDel="006B254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redovne pravne lekove</w:t>
            </w:r>
            <w:r w:rsidRPr="00AA542B">
              <w:rPr>
                <w:rFonts w:ascii="Times New Roman" w:hAnsi="Times New Roman"/>
                <w:sz w:val="24"/>
                <w:szCs w:val="24"/>
              </w:rPr>
              <w:t xml:space="preserve"> predviđena Zakonom o izvršnom postupku.</w:t>
            </w:r>
          </w:p>
        </w:tc>
        <w:tc>
          <w:tcPr>
            <w:tcW w:w="3242" w:type="dxa"/>
          </w:tcPr>
          <w:p w14:paraId="533B9F2B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315620E5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/>
                <w:sz w:val="24"/>
                <w:szCs w:val="24"/>
              </w:rPr>
              <w:t>plaćene takse</w:t>
            </w:r>
            <w:r w:rsidRPr="00AA542B">
              <w:rPr>
                <w:rFonts w:ascii="Times New Roman" w:hAnsi="Times New Roman"/>
                <w:sz w:val="24"/>
                <w:szCs w:val="24"/>
              </w:rPr>
              <w:t xml:space="preserve"> za podnesak kojim je pokrenut izvršni postupak.</w:t>
            </w:r>
          </w:p>
        </w:tc>
      </w:tr>
      <w:tr w:rsidR="00FF2736" w:rsidRPr="000E7A33" w14:paraId="3685F22B" w14:textId="77777777" w:rsidTr="007B572B">
        <w:tc>
          <w:tcPr>
            <w:tcW w:w="1092" w:type="dxa"/>
          </w:tcPr>
          <w:p w14:paraId="2AC6C6A1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12.3.4</w:t>
            </w:r>
          </w:p>
        </w:tc>
        <w:tc>
          <w:tcPr>
            <w:tcW w:w="3395" w:type="dxa"/>
          </w:tcPr>
          <w:p w14:paraId="26BEC5CA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analogan način važi vrednost taksi i u protiv izvršnom postupku 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B68BCE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191E4B3C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3A38F7C4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36" w:rsidRPr="000E7A33" w14:paraId="1D37941B" w14:textId="77777777" w:rsidTr="007B572B">
        <w:tc>
          <w:tcPr>
            <w:tcW w:w="1092" w:type="dxa"/>
          </w:tcPr>
          <w:p w14:paraId="4BA83EE7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12.3.5</w:t>
            </w:r>
          </w:p>
        </w:tc>
        <w:tc>
          <w:tcPr>
            <w:tcW w:w="3395" w:type="dxa"/>
          </w:tcPr>
          <w:p w14:paraId="1081F13F" w14:textId="77777777" w:rsidR="00FF2736" w:rsidRPr="00AA542B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A542B">
              <w:rPr>
                <w:rFonts w:ascii="Times New Roman" w:hAnsi="Times New Roman"/>
                <w:sz w:val="24"/>
                <w:szCs w:val="24"/>
              </w:rPr>
              <w:t>Svi ostali podnesci koji nisu predviđeni u ovoj tački.</w:t>
            </w:r>
          </w:p>
          <w:p w14:paraId="6410C2BE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42B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3242" w:type="dxa"/>
          </w:tcPr>
          <w:p w14:paraId="720BF073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4F146E87" w14:textId="77777777" w:rsidR="00FF2736" w:rsidRPr="00BB3DD4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BB3DD4">
              <w:rPr>
                <w:rFonts w:ascii="Times New Roman" w:hAnsi="Times New Roman"/>
                <w:sz w:val="24"/>
                <w:szCs w:val="24"/>
              </w:rPr>
              <w:t>50.00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evra </w:t>
            </w:r>
            <w:r w:rsidRPr="00BB3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E10988" w14:textId="77777777" w:rsidR="00FF2736" w:rsidRPr="00574EDC" w:rsidRDefault="00FF2736" w:rsidP="007B572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F2736" w:rsidRPr="000E7A33" w14:paraId="565FFAB6" w14:textId="77777777" w:rsidTr="007B572B">
        <w:trPr>
          <w:trHeight w:val="377"/>
        </w:trPr>
        <w:tc>
          <w:tcPr>
            <w:tcW w:w="9445" w:type="dxa"/>
            <w:gridSpan w:val="4"/>
          </w:tcPr>
          <w:p w14:paraId="78398049" w14:textId="77777777" w:rsidR="00FF2736" w:rsidRPr="00BB3DD4" w:rsidRDefault="00FF2736" w:rsidP="007B572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50FB5E5D" w14:textId="77777777" w:rsidR="00FF2736" w:rsidRPr="00BB3DD4" w:rsidRDefault="00FF2736" w:rsidP="007B57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12.4 Odeljenje za upravna pitanja </w:t>
            </w:r>
          </w:p>
        </w:tc>
      </w:tr>
      <w:tr w:rsidR="00FF2736" w:rsidRPr="000E7A33" w14:paraId="5417BA06" w14:textId="77777777" w:rsidTr="007B572B">
        <w:trPr>
          <w:trHeight w:val="2420"/>
        </w:trPr>
        <w:tc>
          <w:tcPr>
            <w:tcW w:w="1092" w:type="dxa"/>
          </w:tcPr>
          <w:p w14:paraId="3B220BA8" w14:textId="77777777" w:rsidR="00FF2736" w:rsidRPr="00BB3DD4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12.4.1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24260952" w14:textId="77777777" w:rsidR="00FF2736" w:rsidRPr="00AA542B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A542B">
              <w:rPr>
                <w:rFonts w:ascii="Times New Roman" w:hAnsi="Times New Roman"/>
                <w:sz w:val="24"/>
                <w:szCs w:val="24"/>
              </w:rPr>
              <w:t>Za tužbe protiv upravnog akta i tužbe za izdavanje upravnog akta, kada je vrednost spora merljiva.</w:t>
            </w:r>
          </w:p>
          <w:p w14:paraId="624047BC" w14:textId="77777777" w:rsidR="00FF2736" w:rsidRPr="00330B46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A542B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3242" w:type="dxa"/>
          </w:tcPr>
          <w:p w14:paraId="570CD2EF" w14:textId="77777777" w:rsidR="00FF2736" w:rsidRPr="009657A7" w:rsidRDefault="00FF2736" w:rsidP="007B57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Nadležni sud</w:t>
            </w:r>
          </w:p>
          <w:p w14:paraId="2204FA49" w14:textId="77777777" w:rsidR="00FF2736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0285BB" w14:textId="77777777" w:rsidR="00FF2736" w:rsidRPr="00BB3DD4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do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5,000.00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evra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D12E26" w14:textId="77777777" w:rsidR="00FF2736" w:rsidRPr="00BB3DD4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5,001.00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25,000.00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evra</w:t>
            </w:r>
            <w:r w:rsidRPr="00BB3DD4" w:rsidDel="00DF19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E45220" w14:textId="77777777" w:rsidR="00FF2736" w:rsidRPr="00BB3DD4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25,001.00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50,000.00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evra</w:t>
            </w:r>
          </w:p>
          <w:p w14:paraId="302F8C2A" w14:textId="77777777" w:rsidR="00FF2736" w:rsidRPr="00BB3DD4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50,001.00 deri ne 100,000.00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evra</w:t>
            </w:r>
          </w:p>
          <w:p w14:paraId="2B20E886" w14:textId="77777777" w:rsidR="00FF2736" w:rsidRPr="009657A7" w:rsidRDefault="00FF2736" w:rsidP="007B57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Preko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100,000.00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evra</w:t>
            </w:r>
          </w:p>
        </w:tc>
        <w:tc>
          <w:tcPr>
            <w:tcW w:w="1716" w:type="dxa"/>
          </w:tcPr>
          <w:p w14:paraId="2885182D" w14:textId="77777777" w:rsidR="00FF2736" w:rsidRPr="009657A7" w:rsidRDefault="00FF2736" w:rsidP="007B57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FD325E" w14:textId="77777777" w:rsidR="00FF2736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820695" w14:textId="77777777" w:rsidR="00FF2736" w:rsidRPr="00330B46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</w:p>
          <w:p w14:paraId="27435214" w14:textId="77777777" w:rsidR="00FF2736" w:rsidRPr="00330B46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B09BD6" w14:textId="77777777" w:rsidR="00FF2736" w:rsidRPr="00330B46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</w:p>
          <w:p w14:paraId="7E574106" w14:textId="77777777" w:rsidR="00FF2736" w:rsidRPr="00B6621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evra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B6621A">
              <w:rPr>
                <w:rFonts w:ascii="Times New Roman" w:hAnsi="Times New Roman"/>
                <w:sz w:val="24"/>
                <w:szCs w:val="24"/>
              </w:rPr>
              <w:t xml:space="preserve">0.5%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vrednosta spora do maksimum </w:t>
            </w:r>
          </w:p>
          <w:p w14:paraId="74666CAD" w14:textId="77777777" w:rsidR="00FF2736" w:rsidRPr="00596D9C" w:rsidRDefault="00FF2736" w:rsidP="007B572B">
            <w:pPr>
              <w:rPr>
                <w:rFonts w:ascii="Times New Roman" w:hAnsi="Times New Roman"/>
                <w:sz w:val="28"/>
                <w:szCs w:val="28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  <w:p w14:paraId="18641F76" w14:textId="77777777" w:rsidR="00FF2736" w:rsidRPr="009657A7" w:rsidRDefault="00FF2736" w:rsidP="007B57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F2736" w:rsidRPr="000E7A33" w14:paraId="5190D878" w14:textId="77777777" w:rsidTr="007B572B">
        <w:trPr>
          <w:trHeight w:val="701"/>
        </w:trPr>
        <w:tc>
          <w:tcPr>
            <w:tcW w:w="1092" w:type="dxa"/>
          </w:tcPr>
          <w:p w14:paraId="2D484EF3" w14:textId="77777777" w:rsidR="00FF2736" w:rsidRPr="0018311C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12.4.2</w:t>
            </w:r>
          </w:p>
        </w:tc>
        <w:tc>
          <w:tcPr>
            <w:tcW w:w="3395" w:type="dxa"/>
            <w:tcBorders>
              <w:bottom w:val="nil"/>
            </w:tcBorders>
          </w:tcPr>
          <w:p w14:paraId="4A0980CA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CC16DF">
              <w:rPr>
                <w:rFonts w:ascii="Times New Roman" w:hAnsi="Times New Roman"/>
                <w:sz w:val="24"/>
                <w:szCs w:val="24"/>
              </w:rPr>
              <w:t>Za tužbe protiv upravnog akta i tužbe za donošenje  upravnog akta, kada vrednost spora nije merljiva</w:t>
            </w:r>
            <w:r w:rsidRPr="00CC16D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42" w:type="dxa"/>
          </w:tcPr>
          <w:p w14:paraId="699EAE48" w14:textId="77777777" w:rsidR="00FF2736" w:rsidRPr="004E5EA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  <w:p w14:paraId="0790E563" w14:textId="77777777" w:rsidR="00FF2736" w:rsidRPr="004E5EA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CBCC9A6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4E5EA7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09E27712" w14:textId="77777777" w:rsidTr="007B572B">
        <w:trPr>
          <w:trHeight w:val="674"/>
        </w:trPr>
        <w:tc>
          <w:tcPr>
            <w:tcW w:w="1092" w:type="dxa"/>
          </w:tcPr>
          <w:p w14:paraId="3CCD5467" w14:textId="77777777" w:rsidR="00FF2736" w:rsidRPr="0018311C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12.4.3</w:t>
            </w:r>
          </w:p>
        </w:tc>
        <w:tc>
          <w:tcPr>
            <w:tcW w:w="3395" w:type="dxa"/>
            <w:tcBorders>
              <w:bottom w:val="nil"/>
            </w:tcBorders>
          </w:tcPr>
          <w:p w14:paraId="2C2BC0F8" w14:textId="77777777" w:rsidR="00FF2736" w:rsidRPr="00596D9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CC16DF">
              <w:rPr>
                <w:rFonts w:ascii="Times New Roman" w:hAnsi="Times New Roman"/>
                <w:sz w:val="24"/>
                <w:szCs w:val="24"/>
              </w:rPr>
              <w:t>Za tužbu protiv podzakonskog normativnog akta.</w:t>
            </w:r>
          </w:p>
        </w:tc>
        <w:tc>
          <w:tcPr>
            <w:tcW w:w="3242" w:type="dxa"/>
          </w:tcPr>
          <w:p w14:paraId="2596C3DC" w14:textId="77777777" w:rsidR="00FF2736" w:rsidRPr="004E5EA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  <w:p w14:paraId="23E499A1" w14:textId="77777777" w:rsidR="00FF2736" w:rsidRPr="00596D9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3E66CA3" w14:textId="77777777" w:rsidR="00FF2736" w:rsidRPr="00596D9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:rsidRPr="000E7A33" w14:paraId="7EBB1BE5" w14:textId="77777777" w:rsidTr="007B572B">
        <w:trPr>
          <w:trHeight w:val="1259"/>
        </w:trPr>
        <w:tc>
          <w:tcPr>
            <w:tcW w:w="1092" w:type="dxa"/>
          </w:tcPr>
          <w:p w14:paraId="4FFE9673" w14:textId="77777777" w:rsidR="00FF2736" w:rsidRPr="0018311C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12.4.4</w:t>
            </w:r>
          </w:p>
        </w:tc>
        <w:tc>
          <w:tcPr>
            <w:tcW w:w="3395" w:type="dxa"/>
          </w:tcPr>
          <w:p w14:paraId="74DE9A5B" w14:textId="77777777" w:rsidR="00FF2736" w:rsidRPr="008361F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tužbe u predemtima katastra (KKA</w:t>
            </w:r>
            <w:r w:rsidRPr="008361F9">
              <w:rPr>
                <w:rFonts w:ascii="Times New Roman" w:hAnsi="Times New Roman"/>
                <w:sz w:val="24"/>
                <w:szCs w:val="24"/>
              </w:rPr>
              <w:t>), građevinske dozvole i administrativnog otkaza ugovora.</w:t>
            </w:r>
          </w:p>
          <w:p w14:paraId="1AD49A6F" w14:textId="77777777" w:rsidR="00FF2736" w:rsidRPr="005D638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8361F9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3242" w:type="dxa"/>
          </w:tcPr>
          <w:p w14:paraId="69355416" w14:textId="77777777" w:rsidR="00FF2736" w:rsidRPr="000E7A33" w:rsidRDefault="00FF2736" w:rsidP="007B57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Nadležni sud </w:t>
            </w:r>
          </w:p>
        </w:tc>
        <w:tc>
          <w:tcPr>
            <w:tcW w:w="1716" w:type="dxa"/>
          </w:tcPr>
          <w:p w14:paraId="3DE7BFEF" w14:textId="77777777" w:rsidR="00FF2736" w:rsidRDefault="00FF2736" w:rsidP="007B572B">
            <w:pPr>
              <w:rPr>
                <w:rFonts w:ascii="Times New Roman" w:hAnsi="Times New Roman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  <w:tr w:rsidR="00FF2736" w:rsidRPr="000E7A33" w14:paraId="2C488581" w14:textId="77777777" w:rsidTr="007B572B">
        <w:trPr>
          <w:trHeight w:val="269"/>
        </w:trPr>
        <w:tc>
          <w:tcPr>
            <w:tcW w:w="1092" w:type="dxa"/>
          </w:tcPr>
          <w:p w14:paraId="6B2A2BDB" w14:textId="77777777" w:rsidR="00FF2736" w:rsidRPr="0018311C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12.4.5</w:t>
            </w:r>
          </w:p>
        </w:tc>
        <w:tc>
          <w:tcPr>
            <w:tcW w:w="3395" w:type="dxa"/>
          </w:tcPr>
          <w:p w14:paraId="4BE16093" w14:textId="77777777" w:rsidR="00FF2736" w:rsidRPr="005D638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8361F9">
              <w:rPr>
                <w:rFonts w:ascii="Times New Roman" w:hAnsi="Times New Roman"/>
                <w:sz w:val="24"/>
                <w:szCs w:val="24"/>
              </w:rPr>
              <w:t>Zahtev za odlaganje izvršenja re</w:t>
            </w:r>
            <w:r>
              <w:rPr>
                <w:rFonts w:ascii="Times New Roman" w:hAnsi="Times New Roman"/>
                <w:sz w:val="24"/>
                <w:szCs w:val="24"/>
              </w:rPr>
              <w:t>šenja i zahtev za razmatranje</w:t>
            </w:r>
            <w:r w:rsidRPr="008361F9">
              <w:rPr>
                <w:rFonts w:ascii="Times New Roman" w:hAnsi="Times New Roman"/>
                <w:sz w:val="24"/>
                <w:szCs w:val="24"/>
              </w:rPr>
              <w:t xml:space="preserve"> postupka.</w:t>
            </w:r>
          </w:p>
        </w:tc>
        <w:tc>
          <w:tcPr>
            <w:tcW w:w="3242" w:type="dxa"/>
          </w:tcPr>
          <w:p w14:paraId="2042D686" w14:textId="77777777" w:rsidR="00FF2736" w:rsidRPr="000E7A33" w:rsidRDefault="00FF2736" w:rsidP="007B57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3F2C9478" w14:textId="77777777" w:rsidR="00FF2736" w:rsidRDefault="00FF2736" w:rsidP="007B572B">
            <w:pPr>
              <w:rPr>
                <w:rFonts w:ascii="Times New Roman" w:hAnsi="Times New Roman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  <w:tr w:rsidR="00FF2736" w:rsidRPr="000E7A33" w14:paraId="59B6698B" w14:textId="77777777" w:rsidTr="007B572B">
        <w:tc>
          <w:tcPr>
            <w:tcW w:w="1092" w:type="dxa"/>
          </w:tcPr>
          <w:p w14:paraId="75366B65" w14:textId="77777777" w:rsidR="00FF2736" w:rsidRPr="009A1183" w:rsidDel="00C15004" w:rsidRDefault="00FF2736" w:rsidP="007B57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14:paraId="43C2F11C" w14:textId="77777777" w:rsidR="00FF2736" w:rsidRPr="00025F57" w:rsidDel="00C15004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redovne i vanredne pravne lekove napadanja </w:t>
            </w:r>
          </w:p>
        </w:tc>
        <w:tc>
          <w:tcPr>
            <w:tcW w:w="3242" w:type="dxa"/>
          </w:tcPr>
          <w:p w14:paraId="28A89CE9" w14:textId="77777777" w:rsidR="00FF2736" w:rsidRPr="008361F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67985309" w14:textId="77777777" w:rsidR="00FF2736" w:rsidRPr="00025F57" w:rsidDel="00C15004" w:rsidRDefault="00FF2736" w:rsidP="007B5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plaćene takse za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podnesak kojim je pokrenut upravni postupak.</w:t>
            </w:r>
          </w:p>
        </w:tc>
      </w:tr>
      <w:tr w:rsidR="00FF2736" w:rsidRPr="000E7A33" w14:paraId="431734CC" w14:textId="77777777" w:rsidTr="007B572B">
        <w:tc>
          <w:tcPr>
            <w:tcW w:w="1092" w:type="dxa"/>
          </w:tcPr>
          <w:p w14:paraId="45FBDB34" w14:textId="77777777" w:rsidR="00FF2736" w:rsidRPr="00025F57" w:rsidRDefault="00FF2736" w:rsidP="007B57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12.4.7</w:t>
            </w:r>
          </w:p>
        </w:tc>
        <w:tc>
          <w:tcPr>
            <w:tcW w:w="3395" w:type="dxa"/>
          </w:tcPr>
          <w:p w14:paraId="6A152E55" w14:textId="77777777" w:rsidR="00FF2736" w:rsidRPr="00025F5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4552DF">
              <w:rPr>
                <w:rFonts w:ascii="Times New Roman" w:hAnsi="Times New Roman"/>
                <w:sz w:val="24"/>
                <w:szCs w:val="24"/>
              </w:rPr>
              <w:t>Svi ostali podnesci koji nisu predviđeni u ovoj tački.</w:t>
            </w:r>
          </w:p>
        </w:tc>
        <w:tc>
          <w:tcPr>
            <w:tcW w:w="3242" w:type="dxa"/>
          </w:tcPr>
          <w:p w14:paraId="499F67EB" w14:textId="77777777" w:rsidR="00FF2736" w:rsidRPr="00025F57" w:rsidRDefault="00FF2736" w:rsidP="007B572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716" w:type="dxa"/>
          </w:tcPr>
          <w:p w14:paraId="03627193" w14:textId="77777777" w:rsidR="00FF2736" w:rsidRPr="00025F5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evra 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ABC7A7" w14:textId="77777777" w:rsidR="00FF2736" w:rsidRPr="00025F5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15BEF" w14:textId="77777777" w:rsidR="00FF2736" w:rsidRDefault="00FF2736" w:rsidP="00FF2736">
      <w:pPr>
        <w:rPr>
          <w:rFonts w:ascii="Times New Roman" w:eastAsia="Times New Roman" w:hAnsi="Times New Roman"/>
          <w:sz w:val="20"/>
          <w:szCs w:val="20"/>
        </w:rPr>
      </w:pPr>
    </w:p>
    <w:p w14:paraId="0840DA43" w14:textId="77777777" w:rsidR="00FF2736" w:rsidRDefault="00FF2736" w:rsidP="00FF2736">
      <w:pPr>
        <w:rPr>
          <w:rFonts w:ascii="Times New Roman" w:eastAsia="Times New Roman" w:hAnsi="Times New Roman"/>
          <w:sz w:val="20"/>
          <w:szCs w:val="20"/>
        </w:rPr>
      </w:pPr>
    </w:p>
    <w:p w14:paraId="3B01E853" w14:textId="77777777" w:rsidR="00FF2736" w:rsidRDefault="00FF2736" w:rsidP="00FF2736">
      <w:pPr>
        <w:spacing w:after="120"/>
        <w:rPr>
          <w:rFonts w:ascii="Times New Roman" w:eastAsia="Times New Roman" w:hAnsi="Times New Roman"/>
          <w:sz w:val="20"/>
          <w:szCs w:val="20"/>
        </w:rPr>
      </w:pPr>
    </w:p>
    <w:p w14:paraId="06D4C7E9" w14:textId="77777777" w:rsidR="00FF2736" w:rsidRPr="00121BE2" w:rsidRDefault="00FF2736" w:rsidP="00FF2736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13</w:t>
      </w:r>
    </w:p>
    <w:p w14:paraId="2C05DE68" w14:textId="77777777" w:rsidR="00FF2736" w:rsidRPr="000E7A33" w:rsidRDefault="00FF2736" w:rsidP="00FF2736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Sudske takse Posebne komore Vrhovnog suda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86"/>
        <w:gridCol w:w="2616"/>
        <w:gridCol w:w="3969"/>
        <w:gridCol w:w="1908"/>
      </w:tblGrid>
      <w:tr w:rsidR="00FF2736" w:rsidRPr="000E7A33" w14:paraId="3386FEDE" w14:textId="77777777" w:rsidTr="007B572B">
        <w:tc>
          <w:tcPr>
            <w:tcW w:w="986" w:type="dxa"/>
          </w:tcPr>
          <w:p w14:paraId="78320E6D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</w:tcPr>
          <w:p w14:paraId="336052DA" w14:textId="77777777" w:rsidR="00FF2736" w:rsidRPr="00025F57" w:rsidRDefault="00FF2736" w:rsidP="007B57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Artikal </w:t>
            </w:r>
          </w:p>
        </w:tc>
        <w:tc>
          <w:tcPr>
            <w:tcW w:w="3969" w:type="dxa"/>
          </w:tcPr>
          <w:p w14:paraId="1157345D" w14:textId="77777777" w:rsidR="00FF2736" w:rsidRPr="00025F57" w:rsidRDefault="00FF2736" w:rsidP="007B57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Vrednost zahteva</w:t>
            </w:r>
          </w:p>
        </w:tc>
        <w:tc>
          <w:tcPr>
            <w:tcW w:w="1908" w:type="dxa"/>
          </w:tcPr>
          <w:p w14:paraId="59808BFB" w14:textId="77777777" w:rsidR="00FF2736" w:rsidRPr="000E7A33" w:rsidRDefault="00FF2736" w:rsidP="007B57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7A33">
              <w:rPr>
                <w:rFonts w:ascii="Times New Roman" w:hAnsi="Times New Roman"/>
                <w:b/>
                <w:i/>
                <w:sz w:val="22"/>
                <w:szCs w:val="22"/>
              </w:rPr>
              <w:t>Taksa</w:t>
            </w:r>
          </w:p>
        </w:tc>
      </w:tr>
      <w:tr w:rsidR="00FF2736" w:rsidRPr="000E7A33" w14:paraId="5C23B1A4" w14:textId="77777777" w:rsidTr="007B572B">
        <w:trPr>
          <w:trHeight w:val="203"/>
        </w:trPr>
        <w:tc>
          <w:tcPr>
            <w:tcW w:w="7571" w:type="dxa"/>
            <w:gridSpan w:val="3"/>
          </w:tcPr>
          <w:p w14:paraId="5CEC4697" w14:textId="77777777" w:rsidR="00FF2736" w:rsidRPr="001D5BDB" w:rsidRDefault="00FF2736" w:rsidP="007B572B">
            <w:pPr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</w:pPr>
            <w:r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13.1   </w:t>
            </w:r>
            <w:r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Sudski postupci u specijalizovanim većima (</w:t>
            </w:r>
            <w:r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-stepen</w:t>
            </w:r>
            <w:r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)     </w:t>
            </w:r>
          </w:p>
        </w:tc>
        <w:tc>
          <w:tcPr>
            <w:tcW w:w="1908" w:type="dxa"/>
          </w:tcPr>
          <w:p w14:paraId="6F5CF4AE" w14:textId="77777777" w:rsidR="00FF2736" w:rsidRPr="000E7A33" w:rsidRDefault="00FF2736" w:rsidP="007B572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F2736" w:rsidRPr="000E7A33" w14:paraId="5F4AC993" w14:textId="77777777" w:rsidTr="007B572B">
        <w:trPr>
          <w:trHeight w:val="770"/>
        </w:trPr>
        <w:tc>
          <w:tcPr>
            <w:tcW w:w="986" w:type="dxa"/>
          </w:tcPr>
          <w:p w14:paraId="6062D949" w14:textId="77777777" w:rsidR="00FF2736" w:rsidRPr="00025F5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13.1.1</w:t>
            </w:r>
          </w:p>
        </w:tc>
        <w:tc>
          <w:tcPr>
            <w:tcW w:w="2616" w:type="dxa"/>
          </w:tcPr>
          <w:p w14:paraId="4B36B743" w14:textId="77777777" w:rsidR="00FF2736" w:rsidRPr="004552D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DF">
              <w:rPr>
                <w:rFonts w:ascii="Times New Roman" w:hAnsi="Times New Roman"/>
                <w:sz w:val="24"/>
                <w:szCs w:val="24"/>
              </w:rPr>
              <w:t xml:space="preserve">Tužbe i </w:t>
            </w:r>
            <w:r>
              <w:rPr>
                <w:rFonts w:ascii="Times New Roman" w:hAnsi="Times New Roman"/>
                <w:sz w:val="24"/>
                <w:szCs w:val="24"/>
              </w:rPr>
              <w:t>druga pitanja u vezi sa postupkom</w:t>
            </w:r>
            <w:r w:rsidRPr="004552DF">
              <w:rPr>
                <w:rFonts w:ascii="Times New Roman" w:hAnsi="Times New Roman"/>
                <w:sz w:val="24"/>
                <w:szCs w:val="24"/>
              </w:rPr>
              <w:t xml:space="preserve"> privatizacije.</w:t>
            </w:r>
          </w:p>
          <w:p w14:paraId="0D2154D8" w14:textId="77777777" w:rsidR="00FF2736" w:rsidRPr="00025F57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DF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3969" w:type="dxa"/>
          </w:tcPr>
          <w:p w14:paraId="52C08B3B" w14:textId="77777777" w:rsidR="00FF2736" w:rsidRPr="00025F57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Nezavisno od vrednosti zahteva </w:t>
            </w:r>
          </w:p>
        </w:tc>
        <w:tc>
          <w:tcPr>
            <w:tcW w:w="1908" w:type="dxa"/>
          </w:tcPr>
          <w:p w14:paraId="3FAA2914" w14:textId="77777777" w:rsidR="00FF2736" w:rsidRPr="00025F57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F6CB83" w14:textId="77777777" w:rsidR="00FF2736" w:rsidRPr="00025F57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evra </w:t>
            </w:r>
          </w:p>
          <w:p w14:paraId="7FEA6C54" w14:textId="77777777" w:rsidR="00FF2736" w:rsidRPr="00025F57" w:rsidRDefault="00FF2736" w:rsidP="007B572B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F2736" w:rsidRPr="000E7A33" w14:paraId="36A6B3CF" w14:textId="77777777" w:rsidTr="007B572B">
        <w:trPr>
          <w:trHeight w:val="2788"/>
        </w:trPr>
        <w:tc>
          <w:tcPr>
            <w:tcW w:w="986" w:type="dxa"/>
          </w:tcPr>
          <w:p w14:paraId="5323FE5E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1D5BDB">
              <w:rPr>
                <w:rFonts w:ascii="Times New Roman" w:hAnsi="Times New Roman"/>
                <w:sz w:val="24"/>
                <w:szCs w:val="24"/>
              </w:rPr>
              <w:t>13.1.2</w:t>
            </w:r>
          </w:p>
        </w:tc>
        <w:tc>
          <w:tcPr>
            <w:tcW w:w="2616" w:type="dxa"/>
          </w:tcPr>
          <w:p w14:paraId="26E2408E" w14:textId="77777777" w:rsidR="00FF2736" w:rsidRPr="004552D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4552DF">
              <w:rPr>
                <w:rFonts w:ascii="Times New Roman" w:hAnsi="Times New Roman"/>
                <w:sz w:val="24"/>
                <w:szCs w:val="24"/>
              </w:rPr>
              <w:t xml:space="preserve">Tužbe i druga pitanja u vezi 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pravima radnika, radnika za uključenje </w:t>
            </w:r>
            <w:r w:rsidRPr="004552DF">
              <w:rPr>
                <w:rFonts w:ascii="Times New Roman" w:hAnsi="Times New Roman"/>
                <w:sz w:val="24"/>
                <w:szCs w:val="24"/>
              </w:rPr>
              <w:t xml:space="preserve"> na Listu radnika sa legitimnim pravima.</w:t>
            </w:r>
          </w:p>
          <w:p w14:paraId="50D34A59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4552DF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3969" w:type="dxa"/>
          </w:tcPr>
          <w:p w14:paraId="54D80C1A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551E21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Nezavisno od vrednosti zahteva</w:t>
            </w:r>
          </w:p>
          <w:p w14:paraId="7F71CC46" w14:textId="77777777" w:rsidR="00FF2736" w:rsidRPr="000E7A33" w:rsidRDefault="00FF2736" w:rsidP="007B572B">
            <w:pPr>
              <w:tabs>
                <w:tab w:val="left" w:pos="300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14:paraId="4BB69609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për një paditës, për çdo paditës tjetër nga 50 euro shtesë, kurse tarifa maksimale për një lëndë 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euro.</w:t>
            </w:r>
          </w:p>
        </w:tc>
      </w:tr>
      <w:tr w:rsidR="00FF2736" w:rsidRPr="000E7A33" w14:paraId="162FE5C2" w14:textId="77777777" w:rsidTr="007B572B">
        <w:trPr>
          <w:trHeight w:val="527"/>
        </w:trPr>
        <w:tc>
          <w:tcPr>
            <w:tcW w:w="986" w:type="dxa"/>
            <w:vMerge w:val="restart"/>
          </w:tcPr>
          <w:p w14:paraId="344CCC30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1D5BDB">
              <w:rPr>
                <w:rFonts w:ascii="Times New Roman" w:hAnsi="Times New Roman"/>
                <w:sz w:val="24"/>
                <w:szCs w:val="24"/>
              </w:rPr>
              <w:t>13.1.3</w:t>
            </w:r>
          </w:p>
        </w:tc>
        <w:tc>
          <w:tcPr>
            <w:tcW w:w="2616" w:type="dxa"/>
            <w:vMerge w:val="restart"/>
          </w:tcPr>
          <w:p w14:paraId="01422BED" w14:textId="77777777" w:rsidR="00FF2736" w:rsidRPr="000E7A33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Tužbe</w:t>
            </w:r>
            <w:r w:rsidRPr="004552D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radnika za neisplaćene zarade od strane društvenih preduzeća koja su u procesu privatizacije/likvidacije. Ako je u predmetu više od jednog tužioca, naplaćuje se za svakog posebno.</w:t>
            </w:r>
          </w:p>
        </w:tc>
        <w:tc>
          <w:tcPr>
            <w:tcW w:w="3969" w:type="dxa"/>
          </w:tcPr>
          <w:p w14:paraId="629BD872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Za iznose do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.00 evra </w:t>
            </w:r>
          </w:p>
          <w:p w14:paraId="0FCB73D8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B27F007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</w:tc>
      </w:tr>
      <w:tr w:rsidR="00FF2736" w:rsidRPr="000E7A33" w14:paraId="1A03B3A7" w14:textId="77777777" w:rsidTr="007B572B">
        <w:trPr>
          <w:trHeight w:val="421"/>
        </w:trPr>
        <w:tc>
          <w:tcPr>
            <w:tcW w:w="986" w:type="dxa"/>
            <w:vMerge/>
          </w:tcPr>
          <w:p w14:paraId="468DF335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4EB806C7" w14:textId="77777777" w:rsidR="00FF2736" w:rsidRPr="000E7A33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04E8E7EC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Për shumat nga 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.00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</w:t>
            </w:r>
          </w:p>
        </w:tc>
        <w:tc>
          <w:tcPr>
            <w:tcW w:w="1908" w:type="dxa"/>
          </w:tcPr>
          <w:p w14:paraId="76160439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.00 evra </w:t>
            </w:r>
          </w:p>
          <w:p w14:paraId="45AD0773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F2736" w:rsidRPr="000E7A33" w14:paraId="3B861184" w14:textId="77777777" w:rsidTr="007B572B">
        <w:trPr>
          <w:trHeight w:val="265"/>
        </w:trPr>
        <w:tc>
          <w:tcPr>
            <w:tcW w:w="986" w:type="dxa"/>
            <w:vMerge/>
          </w:tcPr>
          <w:p w14:paraId="1B0FBE39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46015F28" w14:textId="77777777" w:rsidR="00FF2736" w:rsidRPr="000E7A33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3DAC6230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05512">
              <w:rPr>
                <w:rFonts w:ascii="Times New Roman" w:hAnsi="Times New Roman"/>
                <w:sz w:val="24"/>
                <w:szCs w:val="24"/>
                <w:lang w:eastAsia="ja-JP"/>
              </w:rPr>
              <w:t>Za iznose od 5.001,00 evra i više</w:t>
            </w:r>
          </w:p>
        </w:tc>
        <w:tc>
          <w:tcPr>
            <w:tcW w:w="1908" w:type="dxa"/>
          </w:tcPr>
          <w:p w14:paraId="193FB16B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</w:tc>
      </w:tr>
      <w:tr w:rsidR="00FF2736" w:rsidRPr="000E7A33" w14:paraId="129512C7" w14:textId="77777777" w:rsidTr="007B572B">
        <w:trPr>
          <w:trHeight w:val="559"/>
        </w:trPr>
        <w:tc>
          <w:tcPr>
            <w:tcW w:w="986" w:type="dxa"/>
          </w:tcPr>
          <w:p w14:paraId="215ABEE9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13.1.4</w:t>
            </w:r>
          </w:p>
        </w:tc>
        <w:tc>
          <w:tcPr>
            <w:tcW w:w="2616" w:type="dxa"/>
          </w:tcPr>
          <w:p w14:paraId="315AAED6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Opšte tužbe imovinske i poverilačke.</w:t>
            </w:r>
          </w:p>
        </w:tc>
        <w:tc>
          <w:tcPr>
            <w:tcW w:w="3969" w:type="dxa"/>
          </w:tcPr>
          <w:p w14:paraId="7EF21870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Nezavisno od vrednosti zahteva</w:t>
            </w:r>
          </w:p>
          <w:p w14:paraId="28A07295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E587534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</w:tc>
      </w:tr>
      <w:tr w:rsidR="00FF2736" w:rsidRPr="000E7A33" w14:paraId="24E12C2E" w14:textId="77777777" w:rsidTr="007B572B">
        <w:trPr>
          <w:trHeight w:val="708"/>
        </w:trPr>
        <w:tc>
          <w:tcPr>
            <w:tcW w:w="986" w:type="dxa"/>
          </w:tcPr>
          <w:p w14:paraId="7BFE0952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13.1.5</w:t>
            </w:r>
          </w:p>
        </w:tc>
        <w:tc>
          <w:tcPr>
            <w:tcW w:w="2616" w:type="dxa"/>
          </w:tcPr>
          <w:p w14:paraId="5BB8955C" w14:textId="77777777" w:rsidR="00FF2736" w:rsidRPr="00F05512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05512">
              <w:rPr>
                <w:rFonts w:ascii="Times New Roman" w:hAnsi="Times New Roman"/>
                <w:sz w:val="24"/>
                <w:szCs w:val="24"/>
                <w:lang w:eastAsia="ja-JP"/>
              </w:rPr>
              <w:t>Tužbe i druga pitanja u vezi sa likvidacijom društvenog preduzeća.</w:t>
            </w:r>
          </w:p>
          <w:p w14:paraId="5346CCF4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05512">
              <w:rPr>
                <w:rFonts w:ascii="Times New Roman" w:hAnsi="Times New Roman"/>
                <w:sz w:val="24"/>
                <w:szCs w:val="24"/>
                <w:lang w:eastAsia="ja-JP"/>
              </w:rPr>
              <w:t>​</w:t>
            </w:r>
          </w:p>
        </w:tc>
        <w:tc>
          <w:tcPr>
            <w:tcW w:w="3969" w:type="dxa"/>
          </w:tcPr>
          <w:p w14:paraId="5E318102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Nezavisno od vrednosti zahteva</w:t>
            </w:r>
          </w:p>
          <w:p w14:paraId="2C2F17CC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5B0C06E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  <w:p w14:paraId="08D31534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36" w:rsidRPr="000E7A33" w14:paraId="398E43F8" w14:textId="77777777" w:rsidTr="007B572B">
        <w:trPr>
          <w:trHeight w:val="612"/>
        </w:trPr>
        <w:tc>
          <w:tcPr>
            <w:tcW w:w="986" w:type="dxa"/>
          </w:tcPr>
          <w:p w14:paraId="6D68B4B4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lastRenderedPageBreak/>
              <w:t>13.1.6</w:t>
            </w:r>
          </w:p>
        </w:tc>
        <w:tc>
          <w:tcPr>
            <w:tcW w:w="2616" w:type="dxa"/>
          </w:tcPr>
          <w:p w14:paraId="64E94EFB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05512">
              <w:rPr>
                <w:rFonts w:ascii="Times New Roman" w:hAnsi="Times New Roman"/>
                <w:sz w:val="24"/>
                <w:szCs w:val="24"/>
                <w:lang w:eastAsia="ja-JP"/>
              </w:rPr>
              <w:t>Tužbe i druga pitanja u vezi sa reorganizacijom društvenog preduzeća</w:t>
            </w:r>
          </w:p>
        </w:tc>
        <w:tc>
          <w:tcPr>
            <w:tcW w:w="3969" w:type="dxa"/>
          </w:tcPr>
          <w:p w14:paraId="6587DB1B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Nezavisno od vrednosti zahteva</w:t>
            </w:r>
          </w:p>
          <w:p w14:paraId="27ED988A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101B807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.00 evra </w:t>
            </w:r>
          </w:p>
          <w:p w14:paraId="19FDD2D7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36" w:rsidRPr="000E7A33" w14:paraId="42BE8731" w14:textId="77777777" w:rsidTr="007B572B">
        <w:tc>
          <w:tcPr>
            <w:tcW w:w="986" w:type="dxa"/>
          </w:tcPr>
          <w:p w14:paraId="21D24DF9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585" w:type="dxa"/>
            <w:gridSpan w:val="2"/>
          </w:tcPr>
          <w:p w14:paraId="1C060ADF" w14:textId="77777777" w:rsidR="00FF2736" w:rsidRPr="005250FF" w:rsidRDefault="00FF2736" w:rsidP="007B572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Sudski postupci u Žalbenom veću (</w:t>
            </w: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I 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-gi stepen</w:t>
            </w: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)  </w:t>
            </w:r>
          </w:p>
        </w:tc>
        <w:tc>
          <w:tcPr>
            <w:tcW w:w="1908" w:type="dxa"/>
          </w:tcPr>
          <w:p w14:paraId="2EDBD671" w14:textId="77777777" w:rsidR="00FF2736" w:rsidRPr="000E7A33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2736" w:rsidRPr="000E7A33" w14:paraId="0C659102" w14:textId="77777777" w:rsidTr="007B572B">
        <w:trPr>
          <w:trHeight w:val="457"/>
        </w:trPr>
        <w:tc>
          <w:tcPr>
            <w:tcW w:w="986" w:type="dxa"/>
          </w:tcPr>
          <w:p w14:paraId="225529FC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t>13.2.1</w:t>
            </w:r>
          </w:p>
        </w:tc>
        <w:tc>
          <w:tcPr>
            <w:tcW w:w="2616" w:type="dxa"/>
          </w:tcPr>
          <w:p w14:paraId="38387174" w14:textId="77777777" w:rsidR="00FF2736" w:rsidRPr="003771B2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Žalbe na prvostepene odluke</w:t>
            </w:r>
            <w:r w:rsidRPr="003771B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koje se odnose na: p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rivatizaciju, imovinsko-poverilačke zahteve</w:t>
            </w:r>
            <w:r w:rsidRPr="003771B2">
              <w:rPr>
                <w:rFonts w:ascii="Times New Roman" w:hAnsi="Times New Roman"/>
                <w:sz w:val="24"/>
                <w:szCs w:val="24"/>
                <w:lang w:eastAsia="ja-JP"/>
              </w:rPr>
              <w:t>, likvidaciju i reorganizaciju društvenih preduzeća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14:paraId="68653EDD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3771B2">
              <w:rPr>
                <w:rFonts w:ascii="Times New Roman" w:hAnsi="Times New Roman"/>
                <w:sz w:val="24"/>
                <w:szCs w:val="24"/>
                <w:lang w:eastAsia="ja-JP"/>
              </w:rPr>
              <w:t>​</w:t>
            </w:r>
          </w:p>
        </w:tc>
        <w:tc>
          <w:tcPr>
            <w:tcW w:w="3969" w:type="dxa"/>
          </w:tcPr>
          <w:p w14:paraId="0F298851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Nezavisno od vrednosti zahteva</w:t>
            </w:r>
          </w:p>
          <w:p w14:paraId="475F51B5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14:paraId="2ECE7521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E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takse plaćene po tužbi </w:t>
            </w:r>
          </w:p>
          <w:p w14:paraId="41704DCD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36" w:rsidRPr="000E7A33" w14:paraId="63300B03" w14:textId="77777777" w:rsidTr="007B572B">
        <w:trPr>
          <w:trHeight w:val="734"/>
        </w:trPr>
        <w:tc>
          <w:tcPr>
            <w:tcW w:w="986" w:type="dxa"/>
          </w:tcPr>
          <w:p w14:paraId="2F78C3E8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t>13.2.2</w:t>
            </w:r>
          </w:p>
        </w:tc>
        <w:tc>
          <w:tcPr>
            <w:tcW w:w="2616" w:type="dxa"/>
          </w:tcPr>
          <w:p w14:paraId="47006E60" w14:textId="77777777" w:rsidR="00FF2736" w:rsidRPr="003771B2" w:rsidRDefault="00FF2736" w:rsidP="007B572B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Žalbe radnika na prvostepene odluke </w:t>
            </w:r>
            <w:r w:rsidRPr="003771B2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u vezi sa spiskovima radnika sa legitimnim pravima</w:t>
            </w:r>
          </w:p>
          <w:p w14:paraId="76974392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3771B2">
              <w:rPr>
                <w:rFonts w:ascii="Times New Roman" w:hAnsi="Times New Roman"/>
                <w:sz w:val="22"/>
                <w:szCs w:val="22"/>
                <w:lang w:eastAsia="ja-JP"/>
              </w:rPr>
              <w:t>​</w:t>
            </w:r>
          </w:p>
        </w:tc>
        <w:tc>
          <w:tcPr>
            <w:tcW w:w="3969" w:type="dxa"/>
          </w:tcPr>
          <w:p w14:paraId="24082B0E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Nezavisno od vrednosti zahteva</w:t>
            </w:r>
          </w:p>
          <w:p w14:paraId="68688B08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14:paraId="0DAA8EAC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3771B2">
              <w:rPr>
                <w:rFonts w:ascii="Times New Roman" w:hAnsi="Times New Roman"/>
                <w:sz w:val="22"/>
                <w:szCs w:val="22"/>
              </w:rPr>
              <w:t>30,00 evra za jednog tužioca, za svakog drugog tužioca od 30,00 evra, dok je maksimalna taksa za predmet 500,00 evra.</w:t>
            </w:r>
          </w:p>
        </w:tc>
      </w:tr>
      <w:tr w:rsidR="00FF2736" w:rsidRPr="000E7A33" w14:paraId="5C7DC0DB" w14:textId="77777777" w:rsidTr="007B572B">
        <w:trPr>
          <w:trHeight w:val="543"/>
        </w:trPr>
        <w:tc>
          <w:tcPr>
            <w:tcW w:w="986" w:type="dxa"/>
            <w:vMerge w:val="restart"/>
          </w:tcPr>
          <w:p w14:paraId="45236A93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t>13.2.3</w:t>
            </w:r>
          </w:p>
        </w:tc>
        <w:tc>
          <w:tcPr>
            <w:tcW w:w="2616" w:type="dxa"/>
            <w:vMerge w:val="restart"/>
          </w:tcPr>
          <w:p w14:paraId="7ABC663C" w14:textId="77777777" w:rsidR="00FF2736" w:rsidRPr="003771B2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71B2">
              <w:rPr>
                <w:rFonts w:ascii="Times New Roman" w:hAnsi="Times New Roman"/>
                <w:sz w:val="24"/>
                <w:szCs w:val="24"/>
                <w:lang w:eastAsia="ja-JP"/>
              </w:rPr>
              <w:t>Žalbe bivših radnika na prvostepene odluke o neisplaćenim zaradama od strane društvenih preduzeća koja su u procesu privatizacije/likvidacije.</w:t>
            </w:r>
          </w:p>
          <w:p w14:paraId="28AB0E06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71B2">
              <w:rPr>
                <w:rFonts w:ascii="Times New Roman" w:hAnsi="Times New Roman"/>
                <w:sz w:val="24"/>
                <w:szCs w:val="24"/>
                <w:lang w:eastAsia="ja-JP"/>
              </w:rPr>
              <w:t>Ako je u predmetu više od jednog podnosioca žalbe, naplaćuje se za svakog posebno.</w:t>
            </w:r>
          </w:p>
        </w:tc>
        <w:tc>
          <w:tcPr>
            <w:tcW w:w="3969" w:type="dxa"/>
          </w:tcPr>
          <w:p w14:paraId="4545CA54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t>Za iznose do 1.000,00 evra</w:t>
            </w:r>
          </w:p>
        </w:tc>
        <w:tc>
          <w:tcPr>
            <w:tcW w:w="1908" w:type="dxa"/>
          </w:tcPr>
          <w:p w14:paraId="216FE3AA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</w:tc>
      </w:tr>
      <w:tr w:rsidR="00FF2736" w:rsidRPr="000E7A33" w14:paraId="27AEA68E" w14:textId="77777777" w:rsidTr="007B572B">
        <w:trPr>
          <w:trHeight w:val="448"/>
        </w:trPr>
        <w:tc>
          <w:tcPr>
            <w:tcW w:w="986" w:type="dxa"/>
            <w:vMerge/>
          </w:tcPr>
          <w:p w14:paraId="5F5C7211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7890CE37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6643FE3A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t>Za iznose od 1.001,00 do 5.000,00 evra</w:t>
            </w:r>
          </w:p>
        </w:tc>
        <w:tc>
          <w:tcPr>
            <w:tcW w:w="1908" w:type="dxa"/>
          </w:tcPr>
          <w:p w14:paraId="597CE6CA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</w:tc>
      </w:tr>
      <w:tr w:rsidR="00FF2736" w:rsidRPr="000E7A33" w14:paraId="6B7BCBF8" w14:textId="77777777" w:rsidTr="007B572B">
        <w:trPr>
          <w:trHeight w:val="598"/>
        </w:trPr>
        <w:tc>
          <w:tcPr>
            <w:tcW w:w="986" w:type="dxa"/>
            <w:vMerge/>
          </w:tcPr>
          <w:p w14:paraId="723860E3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77E9D35B" w14:textId="77777777" w:rsidR="00FF2736" w:rsidRPr="000E7A33" w:rsidRDefault="00FF2736" w:rsidP="007B572B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605E43AA" w14:textId="77777777" w:rsidR="00FF2736" w:rsidRPr="005250FF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t>Za iznose od 5.001,00 evra i više</w:t>
            </w:r>
          </w:p>
        </w:tc>
        <w:tc>
          <w:tcPr>
            <w:tcW w:w="1908" w:type="dxa"/>
          </w:tcPr>
          <w:p w14:paraId="1B56C978" w14:textId="77777777" w:rsidR="00FF2736" w:rsidRPr="005250FF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.00 evra </w:t>
            </w:r>
          </w:p>
        </w:tc>
      </w:tr>
      <w:tr w:rsidR="00FF2736" w:rsidRPr="000E7A33" w14:paraId="780F6683" w14:textId="77777777" w:rsidTr="007B572B">
        <w:trPr>
          <w:trHeight w:val="598"/>
        </w:trPr>
        <w:tc>
          <w:tcPr>
            <w:tcW w:w="986" w:type="dxa"/>
          </w:tcPr>
          <w:p w14:paraId="074CDEF6" w14:textId="77777777" w:rsidR="00FF2736" w:rsidRPr="00D65BEA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Cs/>
                <w:sz w:val="24"/>
                <w:szCs w:val="24"/>
              </w:rPr>
              <w:t>13.2.4</w:t>
            </w:r>
          </w:p>
        </w:tc>
        <w:tc>
          <w:tcPr>
            <w:tcW w:w="2616" w:type="dxa"/>
          </w:tcPr>
          <w:p w14:paraId="2B122C34" w14:textId="77777777" w:rsidR="00FF2736" w:rsidRPr="00C35DF2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71B2">
              <w:rPr>
                <w:rFonts w:ascii="Times New Roman" w:hAnsi="Times New Roman"/>
                <w:sz w:val="24"/>
                <w:szCs w:val="24"/>
                <w:lang w:eastAsia="ja-JP"/>
              </w:rPr>
              <w:t>Svi ostali podnesci koji nisu predviđeni ovom tačkom</w:t>
            </w:r>
          </w:p>
        </w:tc>
        <w:tc>
          <w:tcPr>
            <w:tcW w:w="3969" w:type="dxa"/>
          </w:tcPr>
          <w:p w14:paraId="7336A081" w14:textId="77777777" w:rsidR="00FF2736" w:rsidRPr="00C35DF2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8" w:type="dxa"/>
          </w:tcPr>
          <w:p w14:paraId="11B857FF" w14:textId="77777777" w:rsidR="00FF2736" w:rsidRPr="00C35DF2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evra </w:t>
            </w:r>
          </w:p>
          <w:p w14:paraId="68149119" w14:textId="77777777" w:rsidR="00FF2736" w:rsidRPr="00C35DF2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F2736" w:rsidRPr="000E7A33" w14:paraId="39C31D47" w14:textId="77777777" w:rsidTr="007B572B">
        <w:tc>
          <w:tcPr>
            <w:tcW w:w="986" w:type="dxa"/>
          </w:tcPr>
          <w:p w14:paraId="01DCA827" w14:textId="77777777" w:rsidR="00FF2736" w:rsidRPr="00C35DF2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13.3.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092B9DB0" w14:textId="77777777" w:rsidR="00FF2736" w:rsidRPr="00C35DF2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Ostale eventualne potvrde </w:t>
            </w:r>
          </w:p>
        </w:tc>
        <w:tc>
          <w:tcPr>
            <w:tcW w:w="3969" w:type="dxa"/>
          </w:tcPr>
          <w:p w14:paraId="694D2149" w14:textId="77777777" w:rsidR="00FF2736" w:rsidRPr="00C35DF2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F02CEC4" w14:textId="77777777" w:rsidR="00FF2736" w:rsidRPr="00C35DF2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5DF2">
              <w:rPr>
                <w:rFonts w:ascii="Times New Roman" w:hAnsi="Times New Roman"/>
                <w:sz w:val="24"/>
                <w:szCs w:val="24"/>
                <w:lang w:eastAsia="ja-JP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</w:tc>
      </w:tr>
    </w:tbl>
    <w:p w14:paraId="0D471219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8E12BC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771A557" w14:textId="77777777" w:rsidR="00FF2736" w:rsidRPr="00162F11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 14 </w:t>
      </w:r>
    </w:p>
    <w:p w14:paraId="1DE0DBF1" w14:textId="77777777" w:rsidR="00FF2736" w:rsidRPr="000E7A33" w:rsidRDefault="00FF2736" w:rsidP="00FF2736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Sudske takse  Privrednog suda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36"/>
        <w:gridCol w:w="2616"/>
        <w:gridCol w:w="3969"/>
        <w:gridCol w:w="1905"/>
      </w:tblGrid>
      <w:tr w:rsidR="00FF2736" w:rsidRPr="000E7A33" w14:paraId="41F27D30" w14:textId="77777777" w:rsidTr="007B572B">
        <w:tc>
          <w:tcPr>
            <w:tcW w:w="936" w:type="dxa"/>
          </w:tcPr>
          <w:p w14:paraId="56625E27" w14:textId="77777777" w:rsidR="00FF2736" w:rsidRPr="00D65BEA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6C2E173" w14:textId="77777777" w:rsidR="00FF2736" w:rsidRPr="00D65BEA" w:rsidRDefault="00FF2736" w:rsidP="007B57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Artikl</w:t>
            </w:r>
          </w:p>
        </w:tc>
        <w:tc>
          <w:tcPr>
            <w:tcW w:w="3969" w:type="dxa"/>
          </w:tcPr>
          <w:p w14:paraId="4D4FC61A" w14:textId="77777777" w:rsidR="00FF2736" w:rsidRPr="00D65BEA" w:rsidRDefault="00FF2736" w:rsidP="007B57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Vrednost zahteva </w:t>
            </w:r>
          </w:p>
        </w:tc>
        <w:tc>
          <w:tcPr>
            <w:tcW w:w="1905" w:type="dxa"/>
          </w:tcPr>
          <w:p w14:paraId="086FBEAC" w14:textId="77777777" w:rsidR="00FF2736" w:rsidRPr="00D65BEA" w:rsidRDefault="00FF2736" w:rsidP="007B57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/>
                <w:i/>
                <w:sz w:val="24"/>
                <w:szCs w:val="24"/>
              </w:rPr>
              <w:t>Taksa</w:t>
            </w:r>
          </w:p>
        </w:tc>
      </w:tr>
      <w:tr w:rsidR="00FF2736" w:rsidRPr="000E7A33" w14:paraId="199C53E8" w14:textId="77777777" w:rsidTr="007B572B">
        <w:trPr>
          <w:trHeight w:val="203"/>
        </w:trPr>
        <w:tc>
          <w:tcPr>
            <w:tcW w:w="7521" w:type="dxa"/>
            <w:gridSpan w:val="3"/>
          </w:tcPr>
          <w:p w14:paraId="0EB976D4" w14:textId="77777777" w:rsidR="00FF2736" w:rsidRPr="006F5899" w:rsidRDefault="00FF2736" w:rsidP="007B572B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14.1   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Tarife taksi u Privrednom sudu </w:t>
            </w:r>
            <w:r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05" w:type="dxa"/>
          </w:tcPr>
          <w:p w14:paraId="7C105510" w14:textId="77777777" w:rsidR="00FF2736" w:rsidRPr="00D65BEA" w:rsidRDefault="00FF2736" w:rsidP="007B57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736" w:rsidRPr="000E7A33" w14:paraId="57CECB6D" w14:textId="77777777" w:rsidTr="007B572B">
        <w:trPr>
          <w:trHeight w:val="770"/>
        </w:trPr>
        <w:tc>
          <w:tcPr>
            <w:tcW w:w="936" w:type="dxa"/>
          </w:tcPr>
          <w:p w14:paraId="1D4B9FF5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79444813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3771B2">
              <w:rPr>
                <w:rFonts w:ascii="Times New Roman" w:hAnsi="Times New Roman"/>
                <w:sz w:val="22"/>
                <w:szCs w:val="22"/>
              </w:rPr>
              <w:t xml:space="preserve">Svi podnesci za sve privredne sporove rešavane u svim </w:t>
            </w:r>
            <w:r w:rsidRPr="003771B2">
              <w:rPr>
                <w:rFonts w:ascii="Times New Roman" w:hAnsi="Times New Roman"/>
                <w:sz w:val="22"/>
                <w:szCs w:val="22"/>
              </w:rPr>
              <w:lastRenderedPageBreak/>
              <w:t>odeljenjima Privrednog suda u kojima j</w:t>
            </w:r>
            <w:r>
              <w:rPr>
                <w:rFonts w:ascii="Times New Roman" w:hAnsi="Times New Roman"/>
                <w:sz w:val="22"/>
                <w:szCs w:val="22"/>
              </w:rPr>
              <w:t>e merljiva vrednost zahteva</w:t>
            </w:r>
            <w:r w:rsidRPr="003771B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B8E0B72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9657A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  <w:p w14:paraId="2359E8B6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Nadležni sud</w:t>
            </w:r>
          </w:p>
        </w:tc>
        <w:tc>
          <w:tcPr>
            <w:tcW w:w="1905" w:type="dxa"/>
          </w:tcPr>
          <w:p w14:paraId="4B414EDB" w14:textId="77777777" w:rsidR="00FF2736" w:rsidRPr="006F5899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AFF01" w14:textId="77777777" w:rsidR="00FF2736" w:rsidRPr="003771B2" w:rsidRDefault="00FF2736" w:rsidP="007B572B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t>200,00 evra</w:t>
            </w:r>
          </w:p>
          <w:p w14:paraId="40957BDE" w14:textId="77777777" w:rsidR="00FF2736" w:rsidRPr="003771B2" w:rsidRDefault="00FF2736" w:rsidP="007B572B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t>300,00 evra</w:t>
            </w:r>
          </w:p>
          <w:p w14:paraId="41BDB775" w14:textId="77777777" w:rsidR="00FF2736" w:rsidRPr="003771B2" w:rsidRDefault="00FF2736" w:rsidP="007B572B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lastRenderedPageBreak/>
              <w:t>500,00 evra</w:t>
            </w:r>
          </w:p>
          <w:p w14:paraId="2633EC1B" w14:textId="77777777" w:rsidR="00FF2736" w:rsidRPr="003771B2" w:rsidRDefault="00FF2736" w:rsidP="007B572B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t>1.000,00 evra</w:t>
            </w:r>
          </w:p>
          <w:p w14:paraId="30F5912A" w14:textId="77777777" w:rsidR="00FF2736" w:rsidRPr="006F5899" w:rsidRDefault="00FF2736" w:rsidP="007B572B">
            <w:pPr>
              <w:tabs>
                <w:tab w:val="left" w:pos="1508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3771B2">
              <w:rPr>
                <w:rFonts w:ascii="Times New Roman" w:hAnsi="Times New Roman"/>
                <w:sz w:val="24"/>
                <w:szCs w:val="24"/>
              </w:rPr>
              <w:t>0,1% od vrednosti spora do maksimalno 5.000,00 evra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F2736" w:rsidRPr="000E7A33" w14:paraId="41C71A24" w14:textId="77777777" w:rsidTr="007B572B">
        <w:trPr>
          <w:trHeight w:val="2429"/>
        </w:trPr>
        <w:tc>
          <w:tcPr>
            <w:tcW w:w="936" w:type="dxa"/>
          </w:tcPr>
          <w:p w14:paraId="335F0644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lastRenderedPageBreak/>
              <w:t>14.1.2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5F80273B" w14:textId="77777777" w:rsidR="00FF2736" w:rsidRPr="002F3631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 w:rsidRPr="003771B2">
              <w:rPr>
                <w:rFonts w:ascii="Times New Roman" w:hAnsi="Times New Roman"/>
                <w:sz w:val="22"/>
                <w:szCs w:val="22"/>
              </w:rPr>
              <w:t>Tužba za ometan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je poseda, za zaštitu od uznemiravanja </w:t>
            </w:r>
            <w:r w:rsidRPr="003771B2">
              <w:rPr>
                <w:rFonts w:ascii="Times New Roman" w:hAnsi="Times New Roman"/>
                <w:sz w:val="22"/>
                <w:szCs w:val="22"/>
              </w:rPr>
              <w:t xml:space="preserve"> i za služnost.</w:t>
            </w:r>
          </w:p>
        </w:tc>
        <w:tc>
          <w:tcPr>
            <w:tcW w:w="3969" w:type="dxa"/>
          </w:tcPr>
          <w:p w14:paraId="526DFC0B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Nadležni sud</w:t>
            </w:r>
          </w:p>
          <w:p w14:paraId="606B0444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8F8F7B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800EF2" w14:textId="77777777" w:rsidR="00FF2736" w:rsidRPr="009657A7" w:rsidRDefault="00FF2736" w:rsidP="007B572B">
            <w:pPr>
              <w:tabs>
                <w:tab w:val="left" w:pos="300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5CA024D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 evra</w:t>
            </w:r>
          </w:p>
        </w:tc>
      </w:tr>
      <w:tr w:rsidR="00FF2736" w:rsidRPr="000E7A33" w14:paraId="34648027" w14:textId="77777777" w:rsidTr="007B572B">
        <w:trPr>
          <w:trHeight w:val="1233"/>
        </w:trPr>
        <w:tc>
          <w:tcPr>
            <w:tcW w:w="936" w:type="dxa"/>
          </w:tcPr>
          <w:p w14:paraId="0E42AC93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14.1.3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2EE3408C" w14:textId="77777777" w:rsidR="00FF2736" w:rsidRPr="00BD7C2D" w:rsidRDefault="00FF2736" w:rsidP="007B572B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7C2D">
              <w:rPr>
                <w:rFonts w:ascii="Times New Roman" w:eastAsia="MS Mincho" w:hAnsi="Times New Roman"/>
                <w:sz w:val="22"/>
                <w:szCs w:val="22"/>
              </w:rPr>
              <w:t xml:space="preserve">Sporovi između privrednih društava u vezi sa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stvarnim</w:t>
            </w:r>
            <w:r w:rsidRPr="00BD7C2D">
              <w:rPr>
                <w:rFonts w:ascii="Times New Roman" w:eastAsia="MS Mincho" w:hAnsi="Times New Roman"/>
                <w:sz w:val="22"/>
                <w:szCs w:val="22"/>
              </w:rPr>
              <w:t xml:space="preserve"> pravima.</w:t>
            </w:r>
          </w:p>
        </w:tc>
        <w:tc>
          <w:tcPr>
            <w:tcW w:w="3969" w:type="dxa"/>
          </w:tcPr>
          <w:p w14:paraId="5F2FF6BA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4E191C6E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3A6ACD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3B46EBD9" w14:textId="77777777" w:rsidTr="007B572B">
        <w:trPr>
          <w:trHeight w:val="559"/>
        </w:trPr>
        <w:tc>
          <w:tcPr>
            <w:tcW w:w="936" w:type="dxa"/>
          </w:tcPr>
          <w:p w14:paraId="0E9529FE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14.1.4</w:t>
            </w:r>
          </w:p>
        </w:tc>
        <w:tc>
          <w:tcPr>
            <w:tcW w:w="2616" w:type="dxa"/>
          </w:tcPr>
          <w:p w14:paraId="0B78B63D" w14:textId="77777777" w:rsidR="00FF2736" w:rsidRPr="00BD7C2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BD7C2D">
              <w:rPr>
                <w:rFonts w:ascii="Times New Roman" w:hAnsi="Times New Roman"/>
                <w:sz w:val="22"/>
                <w:szCs w:val="22"/>
              </w:rPr>
              <w:t>Za tužbe protiv upravnog akta kada nema novčanog potraživanja.</w:t>
            </w:r>
          </w:p>
        </w:tc>
        <w:tc>
          <w:tcPr>
            <w:tcW w:w="3969" w:type="dxa"/>
          </w:tcPr>
          <w:p w14:paraId="30F40825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1CE93FF2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ACD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7F6358A7" w14:textId="77777777" w:rsidTr="007B572B">
        <w:trPr>
          <w:trHeight w:val="708"/>
        </w:trPr>
        <w:tc>
          <w:tcPr>
            <w:tcW w:w="936" w:type="dxa"/>
          </w:tcPr>
          <w:p w14:paraId="2AD2C1DE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14.1.5</w:t>
            </w:r>
          </w:p>
        </w:tc>
        <w:tc>
          <w:tcPr>
            <w:tcW w:w="2616" w:type="dxa"/>
          </w:tcPr>
          <w:p w14:paraId="726439E9" w14:textId="77777777" w:rsidR="00FF2736" w:rsidRPr="003A6ACD" w:rsidRDefault="00FF2736" w:rsidP="007B572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D7C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Sporovi u vezi sa povredom konkurencije, zloupotrebe ili monopola i dominantnog položaja na tržištu, kao i monopolski ugovori, uključujući ocenu nez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akonitosti u kojima nema novčanog</w:t>
            </w:r>
            <w:r w:rsidRPr="00BD7C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po</w:t>
            </w:r>
            <w:r w:rsidRPr="00BD7C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traž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ivanja</w:t>
            </w:r>
            <w:r w:rsidRPr="00BD7C2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0A0E9ECD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6DEEDB63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ACD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417CDCA4" w14:textId="77777777" w:rsidTr="007B572B">
        <w:trPr>
          <w:trHeight w:val="612"/>
        </w:trPr>
        <w:tc>
          <w:tcPr>
            <w:tcW w:w="936" w:type="dxa"/>
          </w:tcPr>
          <w:p w14:paraId="214CE9E4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14.1.6</w:t>
            </w:r>
          </w:p>
        </w:tc>
        <w:tc>
          <w:tcPr>
            <w:tcW w:w="2616" w:type="dxa"/>
          </w:tcPr>
          <w:p w14:paraId="1EB5A6F9" w14:textId="77777777" w:rsidR="00FF2736" w:rsidRPr="003077E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63562">
              <w:rPr>
                <w:rFonts w:ascii="Times New Roman" w:hAnsi="Times New Roman"/>
                <w:sz w:val="24"/>
                <w:szCs w:val="24"/>
                <w:lang w:eastAsia="ja-JP"/>
              </w:rPr>
              <w:t>Sporovi između avio kompanija kada nema novčanog potraživanja.</w:t>
            </w:r>
          </w:p>
        </w:tc>
        <w:tc>
          <w:tcPr>
            <w:tcW w:w="3969" w:type="dxa"/>
          </w:tcPr>
          <w:p w14:paraId="39D35B73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7C681F11" w14:textId="77777777" w:rsidR="00FF2736" w:rsidRPr="003077E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077E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07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26624407" w14:textId="77777777" w:rsidTr="007B572B">
        <w:trPr>
          <w:trHeight w:val="612"/>
        </w:trPr>
        <w:tc>
          <w:tcPr>
            <w:tcW w:w="936" w:type="dxa"/>
          </w:tcPr>
          <w:p w14:paraId="6E295704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14.1.7</w:t>
            </w:r>
          </w:p>
        </w:tc>
        <w:tc>
          <w:tcPr>
            <w:tcW w:w="2616" w:type="dxa"/>
          </w:tcPr>
          <w:p w14:paraId="42FC33AE" w14:textId="77777777" w:rsidR="00FF2736" w:rsidRPr="003077E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63562">
              <w:rPr>
                <w:rFonts w:ascii="Times New Roman" w:hAnsi="Times New Roman"/>
                <w:sz w:val="24"/>
                <w:szCs w:val="24"/>
                <w:lang w:eastAsia="ja-JP"/>
              </w:rPr>
              <w:t>Tužbe u vezi sa intelektualnom svojinom kada nema novčanog potraživanja.</w:t>
            </w:r>
          </w:p>
        </w:tc>
        <w:tc>
          <w:tcPr>
            <w:tcW w:w="3969" w:type="dxa"/>
          </w:tcPr>
          <w:p w14:paraId="60578488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18844BF2" w14:textId="77777777" w:rsidR="00FF2736" w:rsidRPr="003077E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5AE5508E" w14:textId="77777777" w:rsidTr="007B572B">
        <w:trPr>
          <w:trHeight w:val="612"/>
        </w:trPr>
        <w:tc>
          <w:tcPr>
            <w:tcW w:w="936" w:type="dxa"/>
          </w:tcPr>
          <w:p w14:paraId="22D89477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14.1.8</w:t>
            </w:r>
          </w:p>
        </w:tc>
        <w:tc>
          <w:tcPr>
            <w:tcW w:w="2616" w:type="dxa"/>
          </w:tcPr>
          <w:p w14:paraId="69C45D7D" w14:textId="77777777" w:rsidR="00FF2736" w:rsidRPr="00563562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63562">
              <w:rPr>
                <w:rFonts w:ascii="Times New Roman" w:hAnsi="Times New Roman"/>
                <w:sz w:val="22"/>
                <w:szCs w:val="22"/>
                <w:lang w:eastAsia="ja-JP"/>
              </w:rPr>
              <w:t>Tužbe za zaštitu prava vlasnika u privrednom društvu predviđene Zakonom o privrednim društvima.</w:t>
            </w:r>
          </w:p>
        </w:tc>
        <w:tc>
          <w:tcPr>
            <w:tcW w:w="3969" w:type="dxa"/>
          </w:tcPr>
          <w:p w14:paraId="2D437075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0F3E0F80" w14:textId="77777777" w:rsidR="00FF2736" w:rsidRPr="003077E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7A6DCCF7" w14:textId="77777777" w:rsidTr="007B572B">
        <w:trPr>
          <w:trHeight w:val="612"/>
        </w:trPr>
        <w:tc>
          <w:tcPr>
            <w:tcW w:w="936" w:type="dxa"/>
          </w:tcPr>
          <w:p w14:paraId="2A503420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lastRenderedPageBreak/>
              <w:t>14.1.9</w:t>
            </w:r>
          </w:p>
        </w:tc>
        <w:tc>
          <w:tcPr>
            <w:tcW w:w="2616" w:type="dxa"/>
          </w:tcPr>
          <w:p w14:paraId="61EC6F9D" w14:textId="77777777" w:rsidR="00FF2736" w:rsidRPr="002C588E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Predlog za objavljivanje</w:t>
            </w:r>
            <w:r w:rsidRPr="005635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izvršne odluke lokalne arbitraže.</w:t>
            </w:r>
          </w:p>
        </w:tc>
        <w:tc>
          <w:tcPr>
            <w:tcW w:w="3969" w:type="dxa"/>
          </w:tcPr>
          <w:p w14:paraId="4682B885" w14:textId="77777777" w:rsidR="00FF2736" w:rsidRPr="002C588E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1FEDA208" w14:textId="77777777" w:rsidR="00FF2736" w:rsidRPr="002C588E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7C8F906A" w14:textId="77777777" w:rsidTr="007B572B">
        <w:trPr>
          <w:trHeight w:val="612"/>
        </w:trPr>
        <w:tc>
          <w:tcPr>
            <w:tcW w:w="936" w:type="dxa"/>
          </w:tcPr>
          <w:p w14:paraId="615D2B8C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14.1.10</w:t>
            </w:r>
          </w:p>
        </w:tc>
        <w:tc>
          <w:tcPr>
            <w:tcW w:w="2616" w:type="dxa"/>
          </w:tcPr>
          <w:p w14:paraId="4E5C719A" w14:textId="77777777" w:rsidR="00FF2736" w:rsidRPr="002C588E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63562">
              <w:rPr>
                <w:rFonts w:ascii="Times New Roman" w:hAnsi="Times New Roman"/>
                <w:sz w:val="24"/>
                <w:szCs w:val="24"/>
                <w:lang w:eastAsia="ja-JP"/>
              </w:rPr>
              <w:t>Predlog za priznavanje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objave</w:t>
            </w:r>
            <w:r w:rsidRPr="0056356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izvršne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odluke strane arbitražne.</w:t>
            </w:r>
          </w:p>
        </w:tc>
        <w:tc>
          <w:tcPr>
            <w:tcW w:w="3969" w:type="dxa"/>
          </w:tcPr>
          <w:p w14:paraId="4B7EEF52" w14:textId="77777777" w:rsidR="00FF2736" w:rsidRPr="002C588E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5FAFF67A" w14:textId="77777777" w:rsidR="00FF2736" w:rsidRPr="002C588E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77327D9A" w14:textId="77777777" w:rsidTr="007B572B">
        <w:trPr>
          <w:trHeight w:val="612"/>
        </w:trPr>
        <w:tc>
          <w:tcPr>
            <w:tcW w:w="936" w:type="dxa"/>
          </w:tcPr>
          <w:p w14:paraId="2AA43A81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14.1.11</w:t>
            </w:r>
          </w:p>
        </w:tc>
        <w:tc>
          <w:tcPr>
            <w:tcW w:w="2616" w:type="dxa"/>
          </w:tcPr>
          <w:p w14:paraId="79653469" w14:textId="77777777" w:rsidR="00FF2736" w:rsidRPr="002C588E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63562">
              <w:rPr>
                <w:rFonts w:ascii="Times New Roman" w:hAnsi="Times New Roman"/>
                <w:sz w:val="24"/>
                <w:szCs w:val="24"/>
                <w:lang w:eastAsia="ja-JP"/>
              </w:rPr>
              <w:t>Podnesci za poništenje arbitražne odluke.</w:t>
            </w:r>
          </w:p>
        </w:tc>
        <w:tc>
          <w:tcPr>
            <w:tcW w:w="3969" w:type="dxa"/>
          </w:tcPr>
          <w:p w14:paraId="3A98A046" w14:textId="77777777" w:rsidR="00FF2736" w:rsidRPr="002C588E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0C496849" w14:textId="77777777" w:rsidR="00FF2736" w:rsidRPr="002C588E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5DD6EF4B" w14:textId="77777777" w:rsidTr="007B572B">
        <w:trPr>
          <w:trHeight w:val="612"/>
        </w:trPr>
        <w:tc>
          <w:tcPr>
            <w:tcW w:w="936" w:type="dxa"/>
          </w:tcPr>
          <w:p w14:paraId="670968EA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14.1.12</w:t>
            </w:r>
          </w:p>
        </w:tc>
        <w:tc>
          <w:tcPr>
            <w:tcW w:w="2616" w:type="dxa"/>
          </w:tcPr>
          <w:p w14:paraId="6F0ACF78" w14:textId="77777777" w:rsidR="00FF2736" w:rsidRPr="0087377F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63562">
              <w:rPr>
                <w:rFonts w:ascii="Times New Roman" w:hAnsi="Times New Roman"/>
                <w:sz w:val="22"/>
                <w:szCs w:val="22"/>
                <w:lang w:eastAsia="ja-JP"/>
              </w:rPr>
              <w:t>Zahtev za otvaranje stečajnog postupka za MSP (ubrzani postupak).</w:t>
            </w:r>
          </w:p>
        </w:tc>
        <w:tc>
          <w:tcPr>
            <w:tcW w:w="3969" w:type="dxa"/>
          </w:tcPr>
          <w:p w14:paraId="0CC60F1B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253E307D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862422">
              <w:rPr>
                <w:rFonts w:ascii="Times New Roman" w:hAnsi="Times New Roman"/>
                <w:sz w:val="22"/>
                <w:szCs w:val="22"/>
                <w:lang w:eastAsia="ja-JP"/>
              </w:rPr>
              <w:t>200</w:t>
            </w:r>
            <w:r>
              <w:rPr>
                <w:rFonts w:ascii="Times New Roman" w:hAnsi="Times New Roman"/>
                <w:sz w:val="22"/>
                <w:szCs w:val="22"/>
                <w:lang w:eastAsia="ja-JP"/>
              </w:rPr>
              <w:t>.00</w:t>
            </w:r>
            <w:r w:rsidRPr="00862422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19BC3DAC" w14:textId="77777777" w:rsidTr="007B572B">
        <w:trPr>
          <w:trHeight w:val="612"/>
        </w:trPr>
        <w:tc>
          <w:tcPr>
            <w:tcW w:w="936" w:type="dxa"/>
          </w:tcPr>
          <w:p w14:paraId="19A6FFD1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14.1.13</w:t>
            </w:r>
          </w:p>
        </w:tc>
        <w:tc>
          <w:tcPr>
            <w:tcW w:w="2616" w:type="dxa"/>
          </w:tcPr>
          <w:p w14:paraId="36B0BA29" w14:textId="77777777" w:rsidR="00FF2736" w:rsidRPr="0087377F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7377F">
              <w:rPr>
                <w:rFonts w:ascii="Times New Roman" w:hAnsi="Times New Roman"/>
                <w:sz w:val="22"/>
                <w:szCs w:val="22"/>
                <w:lang w:eastAsia="ja-JP"/>
              </w:rPr>
              <w:t>Zahtev za otvaranje stečajnog postupka sa reorganizacijom.</w:t>
            </w:r>
          </w:p>
        </w:tc>
        <w:tc>
          <w:tcPr>
            <w:tcW w:w="3969" w:type="dxa"/>
          </w:tcPr>
          <w:p w14:paraId="34E28A71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71E5D8D4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ja-JP"/>
              </w:rPr>
              <w:t>,</w:t>
            </w: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  <w:lang w:eastAsia="ja-JP"/>
              </w:rPr>
              <w:t>.00</w:t>
            </w: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7AAC2ACD" w14:textId="77777777" w:rsidTr="007B572B">
        <w:trPr>
          <w:trHeight w:val="612"/>
        </w:trPr>
        <w:tc>
          <w:tcPr>
            <w:tcW w:w="936" w:type="dxa"/>
          </w:tcPr>
          <w:p w14:paraId="65969E50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14.1.14</w:t>
            </w:r>
          </w:p>
        </w:tc>
        <w:tc>
          <w:tcPr>
            <w:tcW w:w="2616" w:type="dxa"/>
          </w:tcPr>
          <w:p w14:paraId="5E44510E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7377F">
              <w:rPr>
                <w:rFonts w:ascii="Times New Roman" w:hAnsi="Times New Roman"/>
                <w:sz w:val="24"/>
                <w:szCs w:val="24"/>
                <w:lang w:eastAsia="ja-JP"/>
              </w:rPr>
              <w:t>Direktna likvidacija</w:t>
            </w:r>
          </w:p>
        </w:tc>
        <w:tc>
          <w:tcPr>
            <w:tcW w:w="3969" w:type="dxa"/>
          </w:tcPr>
          <w:p w14:paraId="7DE678CC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0DB52DD6" w14:textId="77777777" w:rsidR="00FF2736" w:rsidRPr="001B695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20A9978A" w14:textId="77777777" w:rsidTr="007B572B">
        <w:trPr>
          <w:trHeight w:val="612"/>
        </w:trPr>
        <w:tc>
          <w:tcPr>
            <w:tcW w:w="936" w:type="dxa"/>
          </w:tcPr>
          <w:p w14:paraId="39F3064A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14.1.15</w:t>
            </w:r>
          </w:p>
        </w:tc>
        <w:tc>
          <w:tcPr>
            <w:tcW w:w="2616" w:type="dxa"/>
          </w:tcPr>
          <w:p w14:paraId="3B451CA0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E54624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Mere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za obezbeđenje</w:t>
            </w:r>
            <w:r w:rsidRPr="00E54624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tu</w:t>
            </w:r>
            <w:r>
              <w:rPr>
                <w:rFonts w:ascii="Times New Roman" w:hAnsi="Times New Roman"/>
                <w:sz w:val="24"/>
                <w:szCs w:val="24"/>
                <w:lang w:val="sr-Latn-RS" w:eastAsia="ja-JP"/>
              </w:rPr>
              <w:t>žbenog zahteva.</w:t>
            </w:r>
          </w:p>
        </w:tc>
        <w:tc>
          <w:tcPr>
            <w:tcW w:w="3969" w:type="dxa"/>
          </w:tcPr>
          <w:p w14:paraId="6567F47F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601BAC30" w14:textId="77777777" w:rsidR="00FF2736" w:rsidRPr="001B695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390B3996" w14:textId="77777777" w:rsidTr="007B572B">
        <w:trPr>
          <w:trHeight w:val="612"/>
        </w:trPr>
        <w:tc>
          <w:tcPr>
            <w:tcW w:w="936" w:type="dxa"/>
          </w:tcPr>
          <w:p w14:paraId="25274467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14.1.16</w:t>
            </w:r>
          </w:p>
        </w:tc>
        <w:tc>
          <w:tcPr>
            <w:tcW w:w="2616" w:type="dxa"/>
          </w:tcPr>
          <w:p w14:paraId="6E77F0E4" w14:textId="77777777" w:rsidR="00FF2736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Zahtev za obezbeđenje dokaza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(p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re dokaza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14:paraId="0A6153FE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14:paraId="52DFDFCF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7199EC4D" w14:textId="77777777" w:rsidR="00FF2736" w:rsidRPr="001B695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73FCBBAE" w14:textId="77777777" w:rsidTr="007B572B">
        <w:trPr>
          <w:trHeight w:val="612"/>
        </w:trPr>
        <w:tc>
          <w:tcPr>
            <w:tcW w:w="936" w:type="dxa"/>
          </w:tcPr>
          <w:p w14:paraId="7EAD13D1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14.1.17</w:t>
            </w:r>
          </w:p>
        </w:tc>
        <w:tc>
          <w:tcPr>
            <w:tcW w:w="2616" w:type="dxa"/>
          </w:tcPr>
          <w:p w14:paraId="50DE4172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24B4">
              <w:rPr>
                <w:rFonts w:ascii="Times New Roman" w:hAnsi="Times New Roman"/>
                <w:sz w:val="24"/>
                <w:szCs w:val="24"/>
                <w:lang w:eastAsia="ja-JP"/>
              </w:rPr>
              <w:t>Zahtev za odlag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anje izvršenja upravne odluke.</w:t>
            </w:r>
          </w:p>
        </w:tc>
        <w:tc>
          <w:tcPr>
            <w:tcW w:w="3969" w:type="dxa"/>
          </w:tcPr>
          <w:p w14:paraId="79818A74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79A96E63" w14:textId="77777777" w:rsidR="00FF2736" w:rsidRPr="001B695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669FF4C8" w14:textId="77777777" w:rsidTr="007B572B">
        <w:trPr>
          <w:trHeight w:val="612"/>
        </w:trPr>
        <w:tc>
          <w:tcPr>
            <w:tcW w:w="936" w:type="dxa"/>
          </w:tcPr>
          <w:p w14:paraId="41B8FBD2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14.1.18</w:t>
            </w:r>
          </w:p>
        </w:tc>
        <w:tc>
          <w:tcPr>
            <w:tcW w:w="2616" w:type="dxa"/>
          </w:tcPr>
          <w:p w14:paraId="70A179A2" w14:textId="77777777" w:rsidR="00FF2736" w:rsidRPr="00324A79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2"/>
                <w:szCs w:val="22"/>
                <w:lang w:eastAsia="ja-JP"/>
              </w:rPr>
              <w:t>Prigovor</w:t>
            </w:r>
            <w:r w:rsidRPr="00324A79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i žalba u postupku izvršenja sa verodostojnom ispravom.</w:t>
            </w:r>
          </w:p>
        </w:tc>
        <w:tc>
          <w:tcPr>
            <w:tcW w:w="3969" w:type="dxa"/>
          </w:tcPr>
          <w:p w14:paraId="7DC42D97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6A15EFDE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264FD19D" w14:textId="77777777" w:rsidTr="007B572B">
        <w:trPr>
          <w:trHeight w:val="612"/>
        </w:trPr>
        <w:tc>
          <w:tcPr>
            <w:tcW w:w="936" w:type="dxa"/>
          </w:tcPr>
          <w:p w14:paraId="217E9465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14.1.19</w:t>
            </w:r>
          </w:p>
        </w:tc>
        <w:tc>
          <w:tcPr>
            <w:tcW w:w="2616" w:type="dxa"/>
          </w:tcPr>
          <w:p w14:paraId="100FA436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Prigovor</w:t>
            </w:r>
            <w:r w:rsidRPr="00EE60C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i žalba u izvršnom postupku sa izvršnom ispravom.</w:t>
            </w:r>
          </w:p>
        </w:tc>
        <w:tc>
          <w:tcPr>
            <w:tcW w:w="3969" w:type="dxa"/>
          </w:tcPr>
          <w:p w14:paraId="431B63F7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0CD6C4FD" w14:textId="77777777" w:rsidR="00FF2736" w:rsidRPr="001B695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40824A60" w14:textId="77777777" w:rsidTr="007B572B">
        <w:trPr>
          <w:trHeight w:val="612"/>
        </w:trPr>
        <w:tc>
          <w:tcPr>
            <w:tcW w:w="936" w:type="dxa"/>
          </w:tcPr>
          <w:p w14:paraId="5F29343F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14.1.20</w:t>
            </w:r>
          </w:p>
        </w:tc>
        <w:tc>
          <w:tcPr>
            <w:tcW w:w="2616" w:type="dxa"/>
          </w:tcPr>
          <w:p w14:paraId="4AC64847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Zahtev za izuzeće </w:t>
            </w:r>
            <w:r w:rsidRPr="00EE60CE">
              <w:rPr>
                <w:rFonts w:ascii="Times New Roman" w:hAnsi="Times New Roman"/>
                <w:sz w:val="24"/>
                <w:szCs w:val="24"/>
                <w:lang w:eastAsia="ja-JP"/>
              </w:rPr>
              <w:t>sudije privatnog izvršitelja</w:t>
            </w:r>
          </w:p>
        </w:tc>
        <w:tc>
          <w:tcPr>
            <w:tcW w:w="3969" w:type="dxa"/>
          </w:tcPr>
          <w:p w14:paraId="33CF9B25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3E7F9BA1" w14:textId="77777777" w:rsidR="00FF2736" w:rsidRPr="001B695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64833089" w14:textId="77777777" w:rsidTr="007B572B">
        <w:trPr>
          <w:trHeight w:val="612"/>
        </w:trPr>
        <w:tc>
          <w:tcPr>
            <w:tcW w:w="936" w:type="dxa"/>
          </w:tcPr>
          <w:p w14:paraId="616C2B60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14.1.21</w:t>
            </w:r>
          </w:p>
        </w:tc>
        <w:tc>
          <w:tcPr>
            <w:tcW w:w="2616" w:type="dxa"/>
          </w:tcPr>
          <w:p w14:paraId="0DC8EE4D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Žalba</w:t>
            </w:r>
            <w:r w:rsidRPr="00EE60C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na nepravilnosti u izvršnom postupku.</w:t>
            </w:r>
          </w:p>
        </w:tc>
        <w:tc>
          <w:tcPr>
            <w:tcW w:w="3969" w:type="dxa"/>
          </w:tcPr>
          <w:p w14:paraId="706AAD14" w14:textId="77777777" w:rsidR="00FF2736" w:rsidRPr="001B6955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477EBF71" w14:textId="77777777" w:rsidR="00FF2736" w:rsidRPr="001B6955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E76D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100.00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</w:tc>
      </w:tr>
      <w:tr w:rsidR="00FF2736" w:rsidRPr="000E7A33" w14:paraId="00C349BF" w14:textId="77777777" w:rsidTr="007B572B">
        <w:trPr>
          <w:trHeight w:val="612"/>
        </w:trPr>
        <w:tc>
          <w:tcPr>
            <w:tcW w:w="936" w:type="dxa"/>
          </w:tcPr>
          <w:p w14:paraId="17E9D37C" w14:textId="77777777" w:rsidR="00FF2736" w:rsidRPr="006F5899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14.1.22</w:t>
            </w:r>
          </w:p>
        </w:tc>
        <w:tc>
          <w:tcPr>
            <w:tcW w:w="2616" w:type="dxa"/>
          </w:tcPr>
          <w:p w14:paraId="0062FC1D" w14:textId="77777777" w:rsidR="00FF2736" w:rsidRPr="00961C2C" w:rsidRDefault="00FF2736" w:rsidP="007B572B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Za sve tarife</w:t>
            </w:r>
            <w:r w:rsidRPr="009C0B4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koje nisu regulisane ovom odredbom primenjuju se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tarife</w:t>
            </w:r>
            <w:r w:rsidRPr="009C0B4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predviđene na analogan način u postupku spora kao u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gore navedenom </w:t>
            </w:r>
            <w:r w:rsidRPr="009C0B49">
              <w:rPr>
                <w:rFonts w:ascii="Times New Roman" w:hAnsi="Times New Roman"/>
                <w:sz w:val="24"/>
                <w:szCs w:val="24"/>
                <w:lang w:eastAsia="ja-JP"/>
              </w:rPr>
              <w:t>tekstu.</w:t>
            </w:r>
          </w:p>
        </w:tc>
        <w:tc>
          <w:tcPr>
            <w:tcW w:w="3969" w:type="dxa"/>
          </w:tcPr>
          <w:p w14:paraId="706EA39F" w14:textId="77777777" w:rsidR="00FF2736" w:rsidRPr="009657A7" w:rsidRDefault="00FF2736" w:rsidP="007B5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5F8808B7" w14:textId="77777777" w:rsidR="00FF2736" w:rsidRPr="009657A7" w:rsidRDefault="00FF2736" w:rsidP="007B572B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</w:tr>
      <w:tr w:rsidR="00FF2736" w:rsidRPr="000E7A33" w14:paraId="2016FFF3" w14:textId="77777777" w:rsidTr="007B572B">
        <w:trPr>
          <w:trHeight w:val="612"/>
        </w:trPr>
        <w:tc>
          <w:tcPr>
            <w:tcW w:w="936" w:type="dxa"/>
          </w:tcPr>
          <w:p w14:paraId="5EF0E220" w14:textId="77777777" w:rsidR="00FF2736" w:rsidRPr="006F5899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t>14.1.23</w:t>
            </w:r>
            <w:r w:rsidRPr="006F5899" w:rsidDel="00385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5A1FD93D" w14:textId="77777777" w:rsidR="00FF2736" w:rsidRPr="00961C2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773D3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Za redovne i vanredne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pravne lekove napadanja</w:t>
            </w:r>
          </w:p>
        </w:tc>
        <w:tc>
          <w:tcPr>
            <w:tcW w:w="3969" w:type="dxa"/>
          </w:tcPr>
          <w:p w14:paraId="12DDE8E2" w14:textId="77777777" w:rsidR="00FF2736" w:rsidRPr="00961C2C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663BD2E8" w14:textId="77777777" w:rsidR="00FF2736" w:rsidRPr="00961C2C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54633">
              <w:rPr>
                <w:rFonts w:ascii="Times New Roman" w:hAnsi="Times New Roman"/>
                <w:sz w:val="24"/>
                <w:szCs w:val="24"/>
                <w:lang w:eastAsia="ja-JP"/>
              </w:rPr>
              <w:t>50% plaćen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</w:t>
            </w:r>
            <w:r w:rsidRPr="002546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takse</w:t>
            </w:r>
            <w:r w:rsidRPr="0025463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za podnesak kojim je pokrenut </w:t>
            </w:r>
            <w:r w:rsidRPr="00254633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postupak u Privrednom sudu.</w:t>
            </w:r>
          </w:p>
        </w:tc>
      </w:tr>
      <w:tr w:rsidR="00FF2736" w:rsidRPr="000E7A33" w14:paraId="516B9692" w14:textId="77777777" w:rsidTr="007B572B">
        <w:trPr>
          <w:trHeight w:val="612"/>
        </w:trPr>
        <w:tc>
          <w:tcPr>
            <w:tcW w:w="936" w:type="dxa"/>
          </w:tcPr>
          <w:p w14:paraId="2D65D5CF" w14:textId="77777777" w:rsidR="00FF2736" w:rsidRPr="006F5899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14.1.24</w:t>
            </w:r>
          </w:p>
        </w:tc>
        <w:tc>
          <w:tcPr>
            <w:tcW w:w="2616" w:type="dxa"/>
          </w:tcPr>
          <w:p w14:paraId="36C83972" w14:textId="77777777" w:rsidR="00FF2736" w:rsidRPr="001E76D3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DD6D20">
              <w:rPr>
                <w:rFonts w:ascii="Times New Roman" w:hAnsi="Times New Roman"/>
                <w:sz w:val="24"/>
                <w:szCs w:val="24"/>
              </w:rPr>
              <w:t>Svi ostali podnesci koji nisu predviđeni ovom tačkom.</w:t>
            </w:r>
          </w:p>
          <w:p w14:paraId="3A509CB0" w14:textId="77777777" w:rsidR="00FF2736" w:rsidRPr="00B82A5A" w:rsidRDefault="00FF2736" w:rsidP="007B57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4197D059" w14:textId="77777777" w:rsidR="00FF2736" w:rsidRPr="001E76D3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1905" w:type="dxa"/>
          </w:tcPr>
          <w:p w14:paraId="7820B9F3" w14:textId="77777777" w:rsidR="00FF2736" w:rsidRPr="001E76D3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1E76D3">
              <w:rPr>
                <w:rFonts w:ascii="Times New Roman" w:hAnsi="Times New Roman"/>
                <w:sz w:val="24"/>
                <w:szCs w:val="24"/>
              </w:rPr>
              <w:t xml:space="preserve">50.00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evra</w:t>
            </w:r>
          </w:p>
          <w:p w14:paraId="1A8A9465" w14:textId="77777777" w:rsidR="00FF2736" w:rsidRPr="001E76D3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7C3B81" w14:textId="77777777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416B77BC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5CB685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037CE2" w14:textId="2D190189" w:rsidR="00FF2736" w:rsidRPr="00162F11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 15</w:t>
      </w:r>
    </w:p>
    <w:p w14:paraId="74DACCB4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Sudske tarife</w:t>
      </w:r>
      <w:r w:rsidRPr="00481F5A">
        <w:rPr>
          <w:rFonts w:ascii="Times New Roman" w:eastAsia="Times New Roman" w:hAnsi="Times New Roman"/>
          <w:b/>
          <w:sz w:val="24"/>
          <w:szCs w:val="24"/>
        </w:rPr>
        <w:t xml:space="preserve"> za arhive i notarske </w:t>
      </w:r>
      <w:r>
        <w:rPr>
          <w:rFonts w:ascii="Times New Roman" w:eastAsia="Times New Roman" w:hAnsi="Times New Roman"/>
          <w:b/>
          <w:sz w:val="24"/>
          <w:szCs w:val="24"/>
        </w:rPr>
        <w:t>dokumente</w:t>
      </w:r>
    </w:p>
    <w:p w14:paraId="08EC1718" w14:textId="77777777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643EB761" w14:textId="77777777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"/>
        <w:tblW w:w="9514" w:type="dxa"/>
        <w:tblLook w:val="01E0" w:firstRow="1" w:lastRow="1" w:firstColumn="1" w:lastColumn="1" w:noHBand="0" w:noVBand="0"/>
      </w:tblPr>
      <w:tblGrid>
        <w:gridCol w:w="895"/>
        <w:gridCol w:w="2399"/>
        <w:gridCol w:w="4171"/>
        <w:gridCol w:w="2049"/>
      </w:tblGrid>
      <w:tr w:rsidR="00FF2736" w:rsidRPr="000E7A33" w14:paraId="2C9F3B60" w14:textId="77777777" w:rsidTr="007B572B">
        <w:tc>
          <w:tcPr>
            <w:tcW w:w="9514" w:type="dxa"/>
            <w:gridSpan w:val="4"/>
          </w:tcPr>
          <w:p w14:paraId="550DDEE7" w14:textId="77777777" w:rsidR="00FF2736" w:rsidRPr="000E7A33" w:rsidRDefault="00FF2736" w:rsidP="007B572B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102D1585" w14:textId="77777777" w:rsidR="00FF2736" w:rsidRPr="00AB53DD" w:rsidRDefault="00FF2736" w:rsidP="007B57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15.1 Arhivske usluge</w:t>
            </w:r>
          </w:p>
        </w:tc>
      </w:tr>
      <w:tr w:rsidR="00FF2736" w:rsidRPr="000E7A33" w14:paraId="6FD4D321" w14:textId="77777777" w:rsidTr="007B572B">
        <w:tc>
          <w:tcPr>
            <w:tcW w:w="895" w:type="dxa"/>
          </w:tcPr>
          <w:p w14:paraId="73B5A438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</w:tcPr>
          <w:p w14:paraId="1A69EA16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B17B7A">
              <w:rPr>
                <w:rFonts w:ascii="Times New Roman" w:hAnsi="Times New Roman"/>
                <w:sz w:val="24"/>
                <w:szCs w:val="24"/>
              </w:rPr>
              <w:t>Fotokopiranje sudskih spisa i javnih knjiga koje vodi sud.</w:t>
            </w:r>
          </w:p>
        </w:tc>
        <w:tc>
          <w:tcPr>
            <w:tcW w:w="4171" w:type="dxa"/>
          </w:tcPr>
          <w:p w14:paraId="6C461DA3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</w:tcPr>
          <w:p w14:paraId="58EBF9A3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 centi po stranici.</w:t>
            </w:r>
          </w:p>
        </w:tc>
      </w:tr>
      <w:tr w:rsidR="00FF2736" w:rsidRPr="000E7A33" w14:paraId="57AD1F16" w14:textId="77777777" w:rsidTr="007B572B">
        <w:trPr>
          <w:trHeight w:val="1115"/>
        </w:trPr>
        <w:tc>
          <w:tcPr>
            <w:tcW w:w="895" w:type="dxa"/>
          </w:tcPr>
          <w:p w14:paraId="52B48EED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73DBF056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B17B7A">
              <w:rPr>
                <w:rFonts w:ascii="Times New Roman" w:hAnsi="Times New Roman"/>
                <w:sz w:val="24"/>
                <w:szCs w:val="24"/>
              </w:rPr>
              <w:t>Čuvanje u sudskom depozitu.</w:t>
            </w:r>
          </w:p>
        </w:tc>
        <w:tc>
          <w:tcPr>
            <w:tcW w:w="4171" w:type="dxa"/>
          </w:tcPr>
          <w:p w14:paraId="57A01611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</w:tcPr>
          <w:p w14:paraId="337B69B6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  <w:p w14:paraId="2093354C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1% </w:t>
            </w:r>
            <w:r w:rsidRPr="005D23BF">
              <w:rPr>
                <w:rFonts w:ascii="Times New Roman" w:hAnsi="Times New Roman"/>
                <w:sz w:val="24"/>
                <w:szCs w:val="24"/>
              </w:rPr>
              <w:t>vrednosti za svaku narednu godinu.</w:t>
            </w:r>
          </w:p>
          <w:p w14:paraId="4A7077B4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736" w:rsidRPr="000E7A33" w14:paraId="29FE055C" w14:textId="77777777" w:rsidTr="007B572B">
        <w:trPr>
          <w:trHeight w:val="1961"/>
        </w:trPr>
        <w:tc>
          <w:tcPr>
            <w:tcW w:w="895" w:type="dxa"/>
          </w:tcPr>
          <w:p w14:paraId="278E8202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99" w:type="dxa"/>
          </w:tcPr>
          <w:p w14:paraId="211E5999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B17B7A">
              <w:rPr>
                <w:rFonts w:ascii="Times New Roman" w:hAnsi="Times New Roman"/>
                <w:sz w:val="24"/>
                <w:szCs w:val="24"/>
              </w:rPr>
              <w:t xml:space="preserve">Pregled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dosijea </w:t>
            </w:r>
            <w:r w:rsidRPr="00B17B7A">
              <w:rPr>
                <w:rFonts w:ascii="Times New Roman" w:hAnsi="Times New Roman"/>
                <w:sz w:val="24"/>
                <w:szCs w:val="24"/>
              </w:rPr>
              <w:t>završenih predmeta.</w:t>
            </w:r>
          </w:p>
          <w:p w14:paraId="24601860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3F3E5" w14:textId="77777777" w:rsidR="00FF2736" w:rsidRPr="00AB53DD" w:rsidRDefault="00FF2736" w:rsidP="007B57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Napomena: Lica koja su odredila</w:t>
            </w:r>
            <w:r w:rsidRPr="00B17B7A">
              <w:rPr>
                <w:rFonts w:ascii="Times New Roman" w:hAnsi="Times New Roman"/>
                <w:i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dvokata po službenoj dužnosti, i</w:t>
            </w:r>
            <w:r w:rsidRPr="00B17B7A">
              <w:rPr>
                <w:rFonts w:ascii="Times New Roman" w:hAnsi="Times New Roman"/>
                <w:i/>
                <w:sz w:val="24"/>
                <w:szCs w:val="24"/>
              </w:rPr>
              <w:t xml:space="preserve"> kategorija lica oslobođena po članu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8. ovog uputstva, ne plaćaju takse.</w:t>
            </w:r>
          </w:p>
          <w:p w14:paraId="68004393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D2D3EC2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Zatvoreni dosijei do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</w:rPr>
              <w:t>. godine</w:t>
            </w:r>
          </w:p>
          <w:p w14:paraId="7BCD88F1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Zatvoreni dosijei nakon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</w:rPr>
              <w:t>. godine</w:t>
            </w:r>
          </w:p>
          <w:p w14:paraId="170B781E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E0BE666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92A62E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736" w14:paraId="694DC32F" w14:textId="77777777" w:rsidTr="007B572B">
        <w:trPr>
          <w:trHeight w:val="989"/>
        </w:trPr>
        <w:tc>
          <w:tcPr>
            <w:tcW w:w="895" w:type="dxa"/>
          </w:tcPr>
          <w:p w14:paraId="11205B50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99" w:type="dxa"/>
          </w:tcPr>
          <w:p w14:paraId="215BCB14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</w:t>
            </w:r>
            <w:r w:rsidRPr="00A5666E">
              <w:rPr>
                <w:rFonts w:ascii="Times New Roman" w:hAnsi="Times New Roman"/>
                <w:sz w:val="24"/>
                <w:szCs w:val="24"/>
              </w:rPr>
              <w:t xml:space="preserve"> dokumenata za upotrebu u </w:t>
            </w:r>
            <w:r>
              <w:rPr>
                <w:rFonts w:ascii="Times New Roman" w:hAnsi="Times New Roman"/>
                <w:sz w:val="24"/>
                <w:szCs w:val="24"/>
              </w:rPr>
              <w:t>inostranstvu</w:t>
            </w:r>
            <w:r w:rsidRPr="00A5666E">
              <w:rPr>
                <w:rFonts w:ascii="Times New Roman" w:hAnsi="Times New Roman"/>
                <w:sz w:val="24"/>
                <w:szCs w:val="24"/>
              </w:rPr>
              <w:t xml:space="preserve"> „apostille“.</w:t>
            </w:r>
          </w:p>
          <w:p w14:paraId="598A8EE3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33988563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</w:tcPr>
          <w:p w14:paraId="7D420885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evra</w:t>
            </w:r>
          </w:p>
        </w:tc>
      </w:tr>
      <w:tr w:rsidR="00FF2736" w14:paraId="26EF8383" w14:textId="77777777" w:rsidTr="007B572B">
        <w:trPr>
          <w:trHeight w:val="989"/>
        </w:trPr>
        <w:tc>
          <w:tcPr>
            <w:tcW w:w="895" w:type="dxa"/>
          </w:tcPr>
          <w:p w14:paraId="6745DF6D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99" w:type="dxa"/>
          </w:tcPr>
          <w:p w14:paraId="7E995460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4667D9">
              <w:rPr>
                <w:rFonts w:ascii="Times New Roman" w:hAnsi="Times New Roman"/>
                <w:sz w:val="24"/>
                <w:szCs w:val="24"/>
              </w:rPr>
              <w:t>Izda</w:t>
            </w:r>
            <w:r>
              <w:rPr>
                <w:rFonts w:ascii="Times New Roman" w:hAnsi="Times New Roman"/>
                <w:sz w:val="24"/>
                <w:szCs w:val="24"/>
              </w:rPr>
              <w:t>vanje raznih sertifikata – potvrda</w:t>
            </w:r>
            <w:r w:rsidRPr="00466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5B46E9C6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</w:tcPr>
          <w:p w14:paraId="4A83375B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14:paraId="7F595F6E" w14:textId="77777777" w:rsidTr="007B572B">
        <w:trPr>
          <w:trHeight w:val="989"/>
        </w:trPr>
        <w:tc>
          <w:tcPr>
            <w:tcW w:w="895" w:type="dxa"/>
          </w:tcPr>
          <w:p w14:paraId="4D95102E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lastRenderedPageBreak/>
              <w:t>15.1.6</w:t>
            </w:r>
          </w:p>
        </w:tc>
        <w:tc>
          <w:tcPr>
            <w:tcW w:w="2399" w:type="dxa"/>
          </w:tcPr>
          <w:p w14:paraId="6A9A9B83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350F35">
              <w:rPr>
                <w:rFonts w:ascii="Times New Roman" w:hAnsi="Times New Roman"/>
                <w:sz w:val="24"/>
                <w:szCs w:val="24"/>
              </w:rPr>
              <w:t>Izda</w:t>
            </w:r>
            <w:r>
              <w:rPr>
                <w:rFonts w:ascii="Times New Roman" w:hAnsi="Times New Roman"/>
                <w:sz w:val="24"/>
                <w:szCs w:val="24"/>
              </w:rPr>
              <w:t>vanje sertifikata za privredna društva.</w:t>
            </w:r>
          </w:p>
        </w:tc>
        <w:tc>
          <w:tcPr>
            <w:tcW w:w="4171" w:type="dxa"/>
          </w:tcPr>
          <w:p w14:paraId="484CD285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</w:tcPr>
          <w:p w14:paraId="463521AA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14:paraId="7A51AE1F" w14:textId="77777777" w:rsidTr="007B572B">
        <w:trPr>
          <w:trHeight w:val="989"/>
        </w:trPr>
        <w:tc>
          <w:tcPr>
            <w:tcW w:w="895" w:type="dxa"/>
          </w:tcPr>
          <w:p w14:paraId="22AEF5A6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15.1.7</w:t>
            </w:r>
          </w:p>
        </w:tc>
        <w:tc>
          <w:tcPr>
            <w:tcW w:w="2399" w:type="dxa"/>
          </w:tcPr>
          <w:p w14:paraId="2D12B05B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Sertifikat</w:t>
            </w:r>
            <w:r w:rsidRPr="00350F35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/>
                <w:sz w:val="24"/>
                <w:szCs w:val="24"/>
              </w:rPr>
              <w:t>stečaju za privredna društva.</w:t>
            </w:r>
          </w:p>
        </w:tc>
        <w:tc>
          <w:tcPr>
            <w:tcW w:w="4171" w:type="dxa"/>
          </w:tcPr>
          <w:p w14:paraId="41045EBD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</w:tcPr>
          <w:p w14:paraId="5FB33DAB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  <w:tr w:rsidR="00FF2736" w14:paraId="4DB680A7" w14:textId="77777777" w:rsidTr="007B572B">
        <w:trPr>
          <w:trHeight w:val="989"/>
        </w:trPr>
        <w:tc>
          <w:tcPr>
            <w:tcW w:w="895" w:type="dxa"/>
            <w:shd w:val="clear" w:color="auto" w:fill="auto"/>
          </w:tcPr>
          <w:p w14:paraId="2A91D5C5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15.1.8</w:t>
            </w:r>
          </w:p>
        </w:tc>
        <w:tc>
          <w:tcPr>
            <w:tcW w:w="2399" w:type="dxa"/>
            <w:shd w:val="clear" w:color="auto" w:fill="auto"/>
          </w:tcPr>
          <w:p w14:paraId="37C2BFCF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Privredni sud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545287D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Aposti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14:paraId="092F1769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  <w:shd w:val="clear" w:color="auto" w:fill="auto"/>
          </w:tcPr>
          <w:p w14:paraId="6EA1BC02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736" w14:paraId="4350C87F" w14:textId="77777777" w:rsidTr="007B572B">
        <w:trPr>
          <w:trHeight w:val="989"/>
        </w:trPr>
        <w:tc>
          <w:tcPr>
            <w:tcW w:w="895" w:type="dxa"/>
            <w:shd w:val="clear" w:color="auto" w:fill="auto"/>
          </w:tcPr>
          <w:p w14:paraId="6D725E1B" w14:textId="77777777" w:rsidR="00FF2736" w:rsidRPr="00AB53DD" w:rsidRDefault="00FF2736" w:rsidP="007B57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913109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15.1.9</w:t>
            </w:r>
          </w:p>
        </w:tc>
        <w:tc>
          <w:tcPr>
            <w:tcW w:w="2399" w:type="dxa"/>
            <w:shd w:val="clear" w:color="auto" w:fill="auto"/>
          </w:tcPr>
          <w:p w14:paraId="78131097" w14:textId="77777777" w:rsidR="00FF2736" w:rsidRPr="00AB53DD" w:rsidRDefault="00FF2736" w:rsidP="007B572B">
            <w:pPr>
              <w:rPr>
                <w:rFonts w:ascii="Times New Roman" w:hAnsi="Times New Roman"/>
                <w:sz w:val="24"/>
                <w:szCs w:val="24"/>
              </w:rPr>
            </w:pPr>
            <w:r w:rsidRPr="005D23BF">
              <w:rPr>
                <w:rFonts w:ascii="Times New Roman" w:hAnsi="Times New Roman"/>
                <w:sz w:val="24"/>
                <w:szCs w:val="24"/>
              </w:rPr>
              <w:t>Tačnost overene kopije.</w:t>
            </w:r>
          </w:p>
        </w:tc>
        <w:tc>
          <w:tcPr>
            <w:tcW w:w="4171" w:type="dxa"/>
            <w:shd w:val="clear" w:color="auto" w:fill="auto"/>
          </w:tcPr>
          <w:p w14:paraId="0E706765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Nadležni sud</w:t>
            </w:r>
          </w:p>
        </w:tc>
        <w:tc>
          <w:tcPr>
            <w:tcW w:w="2049" w:type="dxa"/>
            <w:shd w:val="clear" w:color="auto" w:fill="auto"/>
          </w:tcPr>
          <w:p w14:paraId="093B4EF5" w14:textId="77777777" w:rsidR="00FF2736" w:rsidRPr="00AB53DD" w:rsidRDefault="00FF2736" w:rsidP="007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 evra</w:t>
            </w:r>
          </w:p>
        </w:tc>
      </w:tr>
    </w:tbl>
    <w:p w14:paraId="0D289285" w14:textId="77777777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6889BEBF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CCF49A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D071DD" w14:textId="77777777" w:rsidR="00FF2736" w:rsidRPr="00121BE2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50AD14C9" w14:textId="77777777" w:rsidR="00FF2736" w:rsidRPr="00032993" w:rsidRDefault="00FF2736" w:rsidP="00FF2736">
      <w:pPr>
        <w:spacing w:after="240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Tarfifa s</w:t>
      </w:r>
      <w:r w:rsidRPr="00032993">
        <w:rPr>
          <w:rFonts w:ascii="Times New Roman" w:eastAsia="Times New Roman" w:hAnsi="Times New Roman"/>
          <w:b/>
          <w:sz w:val="24"/>
          <w:szCs w:val="24"/>
        </w:rPr>
        <w:t>udske takse Žalbenog veća KAI</w:t>
      </w:r>
      <w:r>
        <w:rPr>
          <w:rFonts w:ascii="Times New Roman" w:eastAsia="Times New Roman" w:hAnsi="Times New Roman"/>
          <w:b/>
          <w:sz w:val="24"/>
          <w:szCs w:val="24"/>
        </w:rPr>
        <w:t>-a</w:t>
      </w:r>
      <w:r w:rsidRPr="00032993">
        <w:rPr>
          <w:rFonts w:ascii="Times New Roman" w:eastAsia="Times New Roman" w:hAnsi="Times New Roman"/>
          <w:b/>
          <w:sz w:val="24"/>
          <w:szCs w:val="24"/>
        </w:rPr>
        <w:t xml:space="preserve"> Vrhovnog suda</w:t>
      </w:r>
    </w:p>
    <w:p w14:paraId="1B033345" w14:textId="77777777" w:rsidR="00FF2736" w:rsidRPr="008D3276" w:rsidRDefault="00FF2736" w:rsidP="00FF273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032993">
        <w:rPr>
          <w:rFonts w:ascii="Times New Roman" w:hAnsi="Times New Roman"/>
          <w:sz w:val="24"/>
          <w:szCs w:val="24"/>
        </w:rPr>
        <w:t xml:space="preserve">Za slučajeve koji se obraćaju </w:t>
      </w:r>
      <w:r>
        <w:rPr>
          <w:rFonts w:ascii="Times New Roman" w:hAnsi="Times New Roman"/>
          <w:sz w:val="24"/>
          <w:szCs w:val="24"/>
        </w:rPr>
        <w:t>Ž</w:t>
      </w:r>
      <w:r w:rsidRPr="00032993">
        <w:rPr>
          <w:rFonts w:ascii="Times New Roman" w:hAnsi="Times New Roman"/>
          <w:sz w:val="24"/>
          <w:szCs w:val="24"/>
        </w:rPr>
        <w:t>albe</w:t>
      </w:r>
      <w:r>
        <w:rPr>
          <w:rFonts w:ascii="Times New Roman" w:hAnsi="Times New Roman"/>
          <w:sz w:val="24"/>
          <w:szCs w:val="24"/>
        </w:rPr>
        <w:t>nom veću</w:t>
      </w:r>
      <w:r w:rsidRPr="0003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KAI</w:t>
      </w:r>
      <w:r w:rsidRPr="00032993">
        <w:rPr>
          <w:rFonts w:ascii="Times New Roman" w:hAnsi="Times New Roman"/>
          <w:sz w:val="24"/>
          <w:szCs w:val="24"/>
        </w:rPr>
        <w:t xml:space="preserve">-a Vrhovnog suda Kosova, za </w:t>
      </w:r>
      <w:r>
        <w:rPr>
          <w:rFonts w:ascii="Times New Roman" w:hAnsi="Times New Roman"/>
          <w:sz w:val="24"/>
          <w:szCs w:val="24"/>
        </w:rPr>
        <w:t>razmatranje</w:t>
      </w:r>
      <w:r w:rsidRPr="00032993">
        <w:rPr>
          <w:rFonts w:ascii="Times New Roman" w:hAnsi="Times New Roman"/>
          <w:sz w:val="24"/>
          <w:szCs w:val="24"/>
        </w:rPr>
        <w:t xml:space="preserve"> imovinskih žalbi na odluke Kosovske agencije za imovinu (</w:t>
      </w:r>
      <w:r>
        <w:rPr>
          <w:rFonts w:ascii="Times New Roman" w:hAnsi="Times New Roman"/>
          <w:sz w:val="24"/>
          <w:szCs w:val="24"/>
        </w:rPr>
        <w:t>KAI</w:t>
      </w:r>
      <w:r w:rsidRPr="00032993">
        <w:rPr>
          <w:rFonts w:ascii="Times New Roman" w:hAnsi="Times New Roman"/>
          <w:sz w:val="24"/>
          <w:szCs w:val="24"/>
        </w:rPr>
        <w:t>), prime</w:t>
      </w:r>
      <w:r>
        <w:rPr>
          <w:rFonts w:ascii="Times New Roman" w:hAnsi="Times New Roman"/>
          <w:sz w:val="24"/>
          <w:szCs w:val="24"/>
        </w:rPr>
        <w:t>njuju se suds</w:t>
      </w:r>
      <w:r w:rsidRPr="00032993">
        <w:rPr>
          <w:rFonts w:ascii="Times New Roman" w:hAnsi="Times New Roman"/>
          <w:sz w:val="24"/>
          <w:szCs w:val="24"/>
        </w:rPr>
        <w:t xml:space="preserve">ke takse prema </w:t>
      </w:r>
      <w:r>
        <w:rPr>
          <w:rFonts w:ascii="Times New Roman" w:hAnsi="Times New Roman"/>
          <w:sz w:val="24"/>
          <w:szCs w:val="24"/>
        </w:rPr>
        <w:t>TST</w:t>
      </w:r>
      <w:r w:rsidRPr="000329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42062E">
        <w:rPr>
          <w:rFonts w:ascii="Times New Roman" w:hAnsi="Times New Roman"/>
          <w:sz w:val="24"/>
          <w:szCs w:val="24"/>
        </w:rPr>
        <w:t>odgovarajući</w:t>
      </w:r>
      <w:r>
        <w:rPr>
          <w:rFonts w:ascii="Times New Roman" w:hAnsi="Times New Roman"/>
          <w:sz w:val="24"/>
          <w:szCs w:val="24"/>
        </w:rPr>
        <w:t xml:space="preserve"> način, kao u članu 12. ovog uputstva.</w:t>
      </w:r>
    </w:p>
    <w:p w14:paraId="64D2A625" w14:textId="77777777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003CCF9C" w14:textId="77777777" w:rsidR="00FF2736" w:rsidRPr="00121BE2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37F531F2" w14:textId="77777777" w:rsidR="00FF2736" w:rsidRPr="000E7A33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Takse </w:t>
      </w:r>
      <w:r w:rsidRPr="00AC2284">
        <w:rPr>
          <w:rFonts w:ascii="Times New Roman" w:eastAsia="Times New Roman" w:hAnsi="Times New Roman"/>
          <w:b/>
          <w:sz w:val="24"/>
          <w:szCs w:val="24"/>
        </w:rPr>
        <w:t xml:space="preserve">za </w:t>
      </w:r>
      <w:r>
        <w:rPr>
          <w:rFonts w:ascii="Times New Roman" w:eastAsia="Times New Roman" w:hAnsi="Times New Roman"/>
          <w:b/>
          <w:sz w:val="24"/>
          <w:szCs w:val="24"/>
        </w:rPr>
        <w:t>rešenja</w:t>
      </w:r>
      <w:r w:rsidRPr="00AC2284">
        <w:rPr>
          <w:rFonts w:ascii="Times New Roman" w:eastAsia="Times New Roman" w:hAnsi="Times New Roman"/>
          <w:b/>
          <w:sz w:val="24"/>
          <w:szCs w:val="24"/>
        </w:rPr>
        <w:t xml:space="preserve"> i presude</w:t>
      </w:r>
    </w:p>
    <w:p w14:paraId="5489D314" w14:textId="77777777" w:rsidR="00FF2736" w:rsidRDefault="00FF2736" w:rsidP="00FF2736">
      <w:pPr>
        <w:rPr>
          <w:rFonts w:ascii="Times New Roman" w:eastAsia="Times New Roman" w:hAnsi="Times New Roman"/>
          <w:sz w:val="24"/>
          <w:szCs w:val="24"/>
        </w:rPr>
      </w:pPr>
    </w:p>
    <w:p w14:paraId="4673770A" w14:textId="77777777" w:rsidR="00FF2736" w:rsidRDefault="00FF2736" w:rsidP="00FF2736">
      <w:pPr>
        <w:rPr>
          <w:rFonts w:ascii="Times New Roman" w:eastAsia="Times New Roman" w:hAnsi="Times New Roman"/>
          <w:sz w:val="24"/>
          <w:szCs w:val="24"/>
        </w:rPr>
      </w:pPr>
      <w:r w:rsidRPr="00AC2284">
        <w:rPr>
          <w:rFonts w:ascii="Times New Roman" w:eastAsia="Times New Roman" w:hAnsi="Times New Roman"/>
          <w:sz w:val="24"/>
          <w:szCs w:val="24"/>
        </w:rPr>
        <w:t xml:space="preserve">Nakon stupanja na snagu ovog Administrativnog uputstva, stranke neće plaćati </w:t>
      </w:r>
      <w:r>
        <w:rPr>
          <w:rFonts w:ascii="Times New Roman" w:eastAsia="Times New Roman" w:hAnsi="Times New Roman"/>
          <w:sz w:val="24"/>
          <w:szCs w:val="24"/>
        </w:rPr>
        <w:t>taksu</w:t>
      </w:r>
      <w:r w:rsidRPr="00AC2284">
        <w:rPr>
          <w:rFonts w:ascii="Times New Roman" w:eastAsia="Times New Roman" w:hAnsi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/>
          <w:sz w:val="24"/>
          <w:szCs w:val="24"/>
        </w:rPr>
        <w:t>rešenja</w:t>
      </w:r>
      <w:r w:rsidRPr="00AC2284">
        <w:rPr>
          <w:rFonts w:ascii="Times New Roman" w:eastAsia="Times New Roman" w:hAnsi="Times New Roman"/>
          <w:sz w:val="24"/>
          <w:szCs w:val="24"/>
        </w:rPr>
        <w:t xml:space="preserve"> i presude primljene u svim </w:t>
      </w:r>
      <w:r>
        <w:rPr>
          <w:rFonts w:ascii="Times New Roman" w:eastAsia="Times New Roman" w:hAnsi="Times New Roman"/>
          <w:sz w:val="24"/>
          <w:szCs w:val="24"/>
        </w:rPr>
        <w:t>nivoima</w:t>
      </w:r>
      <w:r w:rsidRPr="00AC2284">
        <w:rPr>
          <w:rFonts w:ascii="Times New Roman" w:eastAsia="Times New Roman" w:hAnsi="Times New Roman"/>
          <w:sz w:val="24"/>
          <w:szCs w:val="24"/>
        </w:rPr>
        <w:t xml:space="preserve"> kosovskog pravosuđa.</w:t>
      </w:r>
    </w:p>
    <w:p w14:paraId="56AA8D21" w14:textId="77777777" w:rsidR="00FF2736" w:rsidRDefault="00FF2736" w:rsidP="00FF273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7F5044D" w14:textId="77777777" w:rsidR="00FF2736" w:rsidRDefault="00FF2736" w:rsidP="00FF273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DB2EB98" w14:textId="77777777" w:rsidR="00FF2736" w:rsidRPr="000A1387" w:rsidRDefault="00FF2736" w:rsidP="00FF273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Član</w:t>
      </w:r>
      <w:r w:rsidRPr="000A1387">
        <w:rPr>
          <w:rFonts w:ascii="Times New Roman" w:eastAsia="Times New Roman" w:hAnsi="Times New Roman"/>
          <w:b/>
          <w:bCs/>
          <w:sz w:val="24"/>
          <w:szCs w:val="24"/>
        </w:rPr>
        <w:t xml:space="preserve"> 18 </w:t>
      </w:r>
    </w:p>
    <w:p w14:paraId="1404F618" w14:textId="77777777" w:rsidR="00FF2736" w:rsidRDefault="00FF2736" w:rsidP="00FF273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1C3E">
        <w:rPr>
          <w:rFonts w:ascii="Times New Roman" w:eastAsia="Times New Roman" w:hAnsi="Times New Roman"/>
          <w:b/>
          <w:bCs/>
          <w:sz w:val="24"/>
          <w:szCs w:val="24"/>
        </w:rPr>
        <w:t>Prelazne odredbe</w:t>
      </w:r>
    </w:p>
    <w:p w14:paraId="1D61C253" w14:textId="77777777" w:rsidR="00FF2736" w:rsidRDefault="00FF2736" w:rsidP="00FF2736">
      <w:pPr>
        <w:pStyle w:val="pf0"/>
        <w:spacing w:before="0" w:beforeAutospacing="0" w:after="0" w:afterAutospacing="0"/>
        <w:jc w:val="both"/>
      </w:pPr>
    </w:p>
    <w:p w14:paraId="4A68A831" w14:textId="77777777" w:rsidR="00FF2736" w:rsidRPr="002B7C9B" w:rsidRDefault="00FF2736" w:rsidP="00FF2736">
      <w:pPr>
        <w:pStyle w:val="pf0"/>
        <w:spacing w:before="0" w:beforeAutospacing="0" w:after="0" w:afterAutospacing="0"/>
        <w:jc w:val="both"/>
      </w:pPr>
      <w:r w:rsidRPr="00B41C3E">
        <w:t xml:space="preserve">Za sve podneske koji su podneti sudovima pre stupanja na snagu ovog administrativnog uputstva, a za koje sudska taksa nije plaćena ili je delimično plaćena, </w:t>
      </w:r>
      <w:r>
        <w:t xml:space="preserve"> primenjuje se tarifa</w:t>
      </w:r>
      <w:r w:rsidRPr="00B41C3E">
        <w:t xml:space="preserve"> koja je predviđena Administrativnim uputstvom br.01/2017, za ujednačavanje sudskih taksi, kao i Administrativno up</w:t>
      </w:r>
      <w:r>
        <w:t>utstvo 02/2019, za dopunu</w:t>
      </w:r>
      <w:r w:rsidRPr="00B41C3E">
        <w:t xml:space="preserve"> Administrativnog uputstva br.01/2017 za ujednačavanje sudskih taksi.</w:t>
      </w:r>
    </w:p>
    <w:p w14:paraId="2C0948ED" w14:textId="77777777" w:rsidR="00FF2736" w:rsidRPr="00172752" w:rsidRDefault="00FF2736" w:rsidP="00FF2736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B3F7FDD" w14:textId="52DD4ED9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0F26B5B9" w14:textId="5B163A58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7EC92E63" w14:textId="070585CD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79EACA6F" w14:textId="3F64F0AC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1E71C323" w14:textId="0D57E897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0082984A" w14:textId="77777777" w:rsidR="00FF2736" w:rsidRDefault="00FF2736" w:rsidP="00FF2736">
      <w:pPr>
        <w:rPr>
          <w:rFonts w:ascii="Times New Roman" w:eastAsia="Times New Roman" w:hAnsi="Times New Roman"/>
          <w:b/>
          <w:sz w:val="24"/>
          <w:szCs w:val="24"/>
        </w:rPr>
      </w:pPr>
    </w:p>
    <w:p w14:paraId="4E194456" w14:textId="77777777" w:rsidR="00FF2736" w:rsidRPr="00121BE2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Član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</w:p>
    <w:p w14:paraId="3A5F653E" w14:textId="77777777" w:rsidR="00FF2736" w:rsidRPr="00121BE2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Ukidanje</w:t>
      </w:r>
    </w:p>
    <w:p w14:paraId="78BBD8BB" w14:textId="77777777" w:rsidR="00FF2736" w:rsidRDefault="00FF2736" w:rsidP="00FF2736">
      <w:pPr>
        <w:pStyle w:val="pf0"/>
        <w:spacing w:before="0" w:beforeAutospacing="0" w:after="0" w:afterAutospacing="0"/>
      </w:pPr>
    </w:p>
    <w:p w14:paraId="59767CA3" w14:textId="77777777" w:rsidR="00FF2736" w:rsidRPr="00953A35" w:rsidRDefault="00FF2736" w:rsidP="00FF2736">
      <w:pPr>
        <w:pStyle w:val="pf0"/>
        <w:spacing w:before="0" w:beforeAutospacing="0" w:after="0" w:afterAutospacing="0"/>
        <w:jc w:val="both"/>
      </w:pPr>
      <w:r w:rsidRPr="004E32A2">
        <w:t>Nakon stupanja na snagu ovog Administrativnog uputstva</w:t>
      </w:r>
      <w:r>
        <w:t>, ukida se</w:t>
      </w:r>
      <w:r w:rsidRPr="004E32A2">
        <w:t xml:space="preserve"> Administrativno uputstvo br.01/2017 o ujednačavanju sudskih taksi i sve druge odredbe koje su u suprotnosti sa ovim administrativnim uputstvom.</w:t>
      </w:r>
    </w:p>
    <w:p w14:paraId="3198590D" w14:textId="77777777" w:rsidR="00FF2736" w:rsidRDefault="00FF2736" w:rsidP="00FF2736">
      <w:pPr>
        <w:jc w:val="center"/>
        <w:rPr>
          <w:rFonts w:ascii="Times New Roman" w:eastAsia="Times New Roman" w:hAnsi="Times New Roman"/>
          <w:strike/>
          <w:sz w:val="24"/>
          <w:szCs w:val="24"/>
        </w:rPr>
      </w:pPr>
    </w:p>
    <w:p w14:paraId="3C9D076A" w14:textId="77777777" w:rsidR="00FF2736" w:rsidRPr="00121BE2" w:rsidRDefault="00FF2736" w:rsidP="00FF27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 20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14:paraId="6F32301E" w14:textId="77777777" w:rsidR="00FF2736" w:rsidRPr="00121BE2" w:rsidRDefault="00FF2736" w:rsidP="00FF2736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Stupanje na snagu</w:t>
      </w:r>
    </w:p>
    <w:p w14:paraId="736CDB18" w14:textId="77777777" w:rsidR="00FF2736" w:rsidRPr="00121BE2" w:rsidRDefault="00FF2736" w:rsidP="00FF2736">
      <w:pPr>
        <w:ind w:left="142" w:right="96"/>
        <w:jc w:val="both"/>
        <w:rPr>
          <w:rFonts w:ascii="Times New Roman" w:eastAsia="Times New Roman" w:hAnsi="Times New Roman"/>
          <w:sz w:val="24"/>
          <w:szCs w:val="24"/>
        </w:rPr>
      </w:pPr>
      <w:r w:rsidRPr="00381650">
        <w:rPr>
          <w:rFonts w:ascii="Times New Roman" w:eastAsia="Times New Roman" w:hAnsi="Times New Roman"/>
          <w:sz w:val="24"/>
          <w:szCs w:val="24"/>
        </w:rPr>
        <w:t>Ovo Administrativno uputstvo stupa na snagu danom usvajanja od strane Sudskog saveta Kosova.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21E0CA6" w14:textId="77777777" w:rsidR="00FF2736" w:rsidRPr="00121BE2" w:rsidRDefault="00FF2736" w:rsidP="00FF2736">
      <w:pPr>
        <w:ind w:left="142" w:right="96"/>
        <w:jc w:val="right"/>
        <w:rPr>
          <w:rFonts w:ascii="Times New Roman" w:eastAsia="Times New Roman" w:hAnsi="Times New Roman"/>
          <w:sz w:val="24"/>
          <w:szCs w:val="24"/>
        </w:rPr>
      </w:pPr>
    </w:p>
    <w:p w14:paraId="45D8098E" w14:textId="77777777" w:rsidR="00FF2736" w:rsidRDefault="00FF2736" w:rsidP="00FF2736">
      <w:pPr>
        <w:spacing w:line="360" w:lineRule="auto"/>
        <w:rPr>
          <w:rFonts w:ascii="Times New Roman" w:hAnsi="Times New Roman"/>
        </w:rPr>
      </w:pPr>
    </w:p>
    <w:p w14:paraId="0BF370D8" w14:textId="77777777" w:rsidR="00FF2736" w:rsidRDefault="00FF2736" w:rsidP="00FF2736">
      <w:pPr>
        <w:spacing w:line="360" w:lineRule="auto"/>
        <w:rPr>
          <w:rFonts w:ascii="Times New Roman" w:hAnsi="Times New Roman"/>
        </w:rPr>
      </w:pPr>
    </w:p>
    <w:p w14:paraId="153CC34C" w14:textId="77777777" w:rsidR="00FF2736" w:rsidRPr="00E65B2A" w:rsidRDefault="00FF2736" w:rsidP="00FF2736">
      <w:pPr>
        <w:spacing w:line="360" w:lineRule="auto"/>
        <w:rPr>
          <w:rFonts w:ascii="Times New Roman" w:hAnsi="Times New Roman"/>
        </w:rPr>
      </w:pPr>
    </w:p>
    <w:p w14:paraId="571CF042" w14:textId="77777777" w:rsidR="00FF2736" w:rsidRPr="00091F89" w:rsidRDefault="00FF2736" w:rsidP="00FF2736">
      <w:pPr>
        <w:tabs>
          <w:tab w:val="left" w:pos="1890"/>
        </w:tabs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Albert Zogaj,</w:t>
      </w:r>
    </w:p>
    <w:p w14:paraId="0C39EFEB" w14:textId="77777777" w:rsidR="00FF2736" w:rsidRPr="00091F89" w:rsidRDefault="00FF2736" w:rsidP="00FF2736">
      <w:pPr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_____________________</w:t>
      </w:r>
    </w:p>
    <w:p w14:paraId="25B5B8FA" w14:textId="77777777" w:rsidR="00FF2736" w:rsidRDefault="00FF2736" w:rsidP="00FF2736">
      <w:pPr>
        <w:jc w:val="right"/>
        <w:rPr>
          <w:rFonts w:ascii="Times New Roman" w:hAnsi="Times New Roman"/>
          <w:b/>
          <w:sz w:val="24"/>
          <w:szCs w:val="24"/>
        </w:rPr>
      </w:pPr>
    </w:p>
    <w:p w14:paraId="478627E9" w14:textId="77777777" w:rsidR="00FF2736" w:rsidRPr="00091F89" w:rsidRDefault="00FF2736" w:rsidP="00FF27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Predsedavajući Sudskog saveta</w:t>
      </w:r>
      <w:r w:rsidRPr="00091F89">
        <w:rPr>
          <w:rFonts w:ascii="Times New Roman" w:hAnsi="Times New Roman"/>
          <w:b/>
          <w:sz w:val="24"/>
          <w:szCs w:val="24"/>
        </w:rPr>
        <w:t xml:space="preserve"> Kosov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00B5EE5D" w14:textId="77777777" w:rsidR="00FF2736" w:rsidRPr="00FB0DAF" w:rsidRDefault="00FF2736" w:rsidP="00FF2736">
      <w:pPr>
        <w:jc w:val="right"/>
        <w:rPr>
          <w:rFonts w:ascii="Sylfaen" w:eastAsia="Times New Roman" w:hAnsi="Sylfaen"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Dat</w:t>
      </w:r>
      <w:r>
        <w:rPr>
          <w:rFonts w:ascii="Times New Roman" w:hAnsi="Times New Roman"/>
          <w:b/>
          <w:sz w:val="24"/>
          <w:szCs w:val="24"/>
        </w:rPr>
        <w:t>um</w:t>
      </w:r>
      <w:r w:rsidRPr="00091F89">
        <w:rPr>
          <w:rFonts w:ascii="Times New Roman" w:hAnsi="Times New Roman"/>
          <w:b/>
          <w:sz w:val="24"/>
          <w:szCs w:val="24"/>
        </w:rPr>
        <w:t>:____._____._________</w:t>
      </w:r>
    </w:p>
    <w:p w14:paraId="5E861BA8" w14:textId="77777777" w:rsidR="00FF2736" w:rsidRPr="00FB0DAF" w:rsidRDefault="00FF2736" w:rsidP="00FF2736">
      <w:pPr>
        <w:autoSpaceDE w:val="0"/>
        <w:autoSpaceDN w:val="0"/>
        <w:adjustRightInd w:val="0"/>
        <w:spacing w:after="120"/>
        <w:ind w:left="5040"/>
        <w:rPr>
          <w:rFonts w:ascii="Sylfaen" w:eastAsia="Times New Roman" w:hAnsi="Sylfaen"/>
          <w:sz w:val="24"/>
          <w:szCs w:val="24"/>
        </w:rPr>
      </w:pPr>
    </w:p>
    <w:p w14:paraId="6453CF04" w14:textId="0850041A" w:rsidR="00472E6E" w:rsidRPr="00FB0DAF" w:rsidRDefault="00472E6E" w:rsidP="00FF2736">
      <w:pPr>
        <w:autoSpaceDE w:val="0"/>
        <w:autoSpaceDN w:val="0"/>
        <w:adjustRightInd w:val="0"/>
        <w:spacing w:after="120"/>
        <w:ind w:left="5040"/>
        <w:rPr>
          <w:rFonts w:ascii="Sylfaen" w:eastAsia="Times New Roman" w:hAnsi="Sylfaen"/>
          <w:sz w:val="24"/>
          <w:szCs w:val="24"/>
        </w:rPr>
      </w:pPr>
    </w:p>
    <w:sectPr w:rsidR="00472E6E" w:rsidRPr="00FB0DAF" w:rsidSect="00110C31">
      <w:pgSz w:w="12240" w:h="15840"/>
      <w:pgMar w:top="1350" w:right="126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25AD" w14:textId="77777777" w:rsidR="00C15754" w:rsidRDefault="00C15754" w:rsidP="00AE04E4">
      <w:r>
        <w:separator/>
      </w:r>
    </w:p>
  </w:endnote>
  <w:endnote w:type="continuationSeparator" w:id="0">
    <w:p w14:paraId="70156FDB" w14:textId="77777777" w:rsidR="00C15754" w:rsidRDefault="00C15754" w:rsidP="00A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21A2" w14:textId="77777777" w:rsidR="00C15754" w:rsidRDefault="00C15754" w:rsidP="00AE04E4">
      <w:r>
        <w:separator/>
      </w:r>
    </w:p>
  </w:footnote>
  <w:footnote w:type="continuationSeparator" w:id="0">
    <w:p w14:paraId="2D42F5DB" w14:textId="77777777" w:rsidR="00C15754" w:rsidRDefault="00C15754" w:rsidP="00A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983"/>
    <w:multiLevelType w:val="hybridMultilevel"/>
    <w:tmpl w:val="0F7EC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2187"/>
    <w:multiLevelType w:val="multilevel"/>
    <w:tmpl w:val="C61CD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73BB2731"/>
    <w:multiLevelType w:val="hybridMultilevel"/>
    <w:tmpl w:val="CC102FE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8"/>
    <w:rsid w:val="000027FA"/>
    <w:rsid w:val="00003561"/>
    <w:rsid w:val="00003786"/>
    <w:rsid w:val="000054A5"/>
    <w:rsid w:val="000134FF"/>
    <w:rsid w:val="00014E56"/>
    <w:rsid w:val="000200E4"/>
    <w:rsid w:val="000229E5"/>
    <w:rsid w:val="00025F57"/>
    <w:rsid w:val="00026733"/>
    <w:rsid w:val="00030F2E"/>
    <w:rsid w:val="000319F1"/>
    <w:rsid w:val="000323DD"/>
    <w:rsid w:val="00033BCE"/>
    <w:rsid w:val="000340B4"/>
    <w:rsid w:val="00036A3D"/>
    <w:rsid w:val="00037C80"/>
    <w:rsid w:val="000413FD"/>
    <w:rsid w:val="000428FD"/>
    <w:rsid w:val="0004573D"/>
    <w:rsid w:val="00053EBA"/>
    <w:rsid w:val="00054F2C"/>
    <w:rsid w:val="000565F0"/>
    <w:rsid w:val="000567F4"/>
    <w:rsid w:val="00057CC9"/>
    <w:rsid w:val="00060ED3"/>
    <w:rsid w:val="0006350B"/>
    <w:rsid w:val="00065558"/>
    <w:rsid w:val="00065FC5"/>
    <w:rsid w:val="00072C96"/>
    <w:rsid w:val="00080533"/>
    <w:rsid w:val="000812A3"/>
    <w:rsid w:val="00083B6B"/>
    <w:rsid w:val="00087998"/>
    <w:rsid w:val="000904C6"/>
    <w:rsid w:val="0009097A"/>
    <w:rsid w:val="00092165"/>
    <w:rsid w:val="0009249D"/>
    <w:rsid w:val="0009467F"/>
    <w:rsid w:val="000A1387"/>
    <w:rsid w:val="000A378C"/>
    <w:rsid w:val="000A55B1"/>
    <w:rsid w:val="000A5A5C"/>
    <w:rsid w:val="000A6B5A"/>
    <w:rsid w:val="000A7772"/>
    <w:rsid w:val="000B2DEA"/>
    <w:rsid w:val="000B51A2"/>
    <w:rsid w:val="000B5A0A"/>
    <w:rsid w:val="000B6557"/>
    <w:rsid w:val="000C0EF8"/>
    <w:rsid w:val="000C0F85"/>
    <w:rsid w:val="000C1630"/>
    <w:rsid w:val="000C6105"/>
    <w:rsid w:val="000D00BD"/>
    <w:rsid w:val="000D0E26"/>
    <w:rsid w:val="000D5185"/>
    <w:rsid w:val="000D5260"/>
    <w:rsid w:val="000D6E4E"/>
    <w:rsid w:val="000D7D28"/>
    <w:rsid w:val="000E04CD"/>
    <w:rsid w:val="000E0F6A"/>
    <w:rsid w:val="000E28E9"/>
    <w:rsid w:val="000E5741"/>
    <w:rsid w:val="000E7A33"/>
    <w:rsid w:val="000F009F"/>
    <w:rsid w:val="000F24B5"/>
    <w:rsid w:val="000F3A44"/>
    <w:rsid w:val="000F517C"/>
    <w:rsid w:val="00100946"/>
    <w:rsid w:val="00101280"/>
    <w:rsid w:val="001038FC"/>
    <w:rsid w:val="00105079"/>
    <w:rsid w:val="00110C31"/>
    <w:rsid w:val="00111760"/>
    <w:rsid w:val="00115B11"/>
    <w:rsid w:val="0011740C"/>
    <w:rsid w:val="00117C23"/>
    <w:rsid w:val="00121BE2"/>
    <w:rsid w:val="00122407"/>
    <w:rsid w:val="00123E99"/>
    <w:rsid w:val="00127AB2"/>
    <w:rsid w:val="00130AD1"/>
    <w:rsid w:val="00133320"/>
    <w:rsid w:val="00133490"/>
    <w:rsid w:val="00133C9F"/>
    <w:rsid w:val="0014255E"/>
    <w:rsid w:val="0014556A"/>
    <w:rsid w:val="00147AE6"/>
    <w:rsid w:val="00151088"/>
    <w:rsid w:val="001557C1"/>
    <w:rsid w:val="00162B08"/>
    <w:rsid w:val="00162F11"/>
    <w:rsid w:val="00164E2F"/>
    <w:rsid w:val="00171A8C"/>
    <w:rsid w:val="00172752"/>
    <w:rsid w:val="00180355"/>
    <w:rsid w:val="00180BBC"/>
    <w:rsid w:val="00180D22"/>
    <w:rsid w:val="001819D1"/>
    <w:rsid w:val="0018311C"/>
    <w:rsid w:val="00183932"/>
    <w:rsid w:val="00187D98"/>
    <w:rsid w:val="001974A4"/>
    <w:rsid w:val="001A0DAA"/>
    <w:rsid w:val="001A1F47"/>
    <w:rsid w:val="001A64F3"/>
    <w:rsid w:val="001A7CCC"/>
    <w:rsid w:val="001A7CEE"/>
    <w:rsid w:val="001A7D68"/>
    <w:rsid w:val="001B13BB"/>
    <w:rsid w:val="001B160E"/>
    <w:rsid w:val="001B64E0"/>
    <w:rsid w:val="001B68D9"/>
    <w:rsid w:val="001B6955"/>
    <w:rsid w:val="001C4378"/>
    <w:rsid w:val="001C5B28"/>
    <w:rsid w:val="001C6592"/>
    <w:rsid w:val="001C659F"/>
    <w:rsid w:val="001C728F"/>
    <w:rsid w:val="001D1A2F"/>
    <w:rsid w:val="001D538B"/>
    <w:rsid w:val="001D5BDB"/>
    <w:rsid w:val="001D7765"/>
    <w:rsid w:val="001E1233"/>
    <w:rsid w:val="001E1621"/>
    <w:rsid w:val="001E5AF4"/>
    <w:rsid w:val="001E70F2"/>
    <w:rsid w:val="001E76D3"/>
    <w:rsid w:val="001F1457"/>
    <w:rsid w:val="001F3368"/>
    <w:rsid w:val="001F6622"/>
    <w:rsid w:val="0021188F"/>
    <w:rsid w:val="00211FD6"/>
    <w:rsid w:val="00216A9A"/>
    <w:rsid w:val="002278AF"/>
    <w:rsid w:val="0023605A"/>
    <w:rsid w:val="00236968"/>
    <w:rsid w:val="0024184D"/>
    <w:rsid w:val="00260686"/>
    <w:rsid w:val="00261E0E"/>
    <w:rsid w:val="00267819"/>
    <w:rsid w:val="00270215"/>
    <w:rsid w:val="00270419"/>
    <w:rsid w:val="002720DA"/>
    <w:rsid w:val="00275057"/>
    <w:rsid w:val="00276A9E"/>
    <w:rsid w:val="00285501"/>
    <w:rsid w:val="002856D3"/>
    <w:rsid w:val="002872AA"/>
    <w:rsid w:val="00287605"/>
    <w:rsid w:val="0029055D"/>
    <w:rsid w:val="002913C1"/>
    <w:rsid w:val="00294F95"/>
    <w:rsid w:val="002A0052"/>
    <w:rsid w:val="002A3E68"/>
    <w:rsid w:val="002A7360"/>
    <w:rsid w:val="002B202D"/>
    <w:rsid w:val="002B23C1"/>
    <w:rsid w:val="002B48EE"/>
    <w:rsid w:val="002B635E"/>
    <w:rsid w:val="002B7C9B"/>
    <w:rsid w:val="002C22BC"/>
    <w:rsid w:val="002C352C"/>
    <w:rsid w:val="002C36B0"/>
    <w:rsid w:val="002C37C0"/>
    <w:rsid w:val="002C4859"/>
    <w:rsid w:val="002C588E"/>
    <w:rsid w:val="002C6CED"/>
    <w:rsid w:val="002C7AA2"/>
    <w:rsid w:val="002D460B"/>
    <w:rsid w:val="002D5FF2"/>
    <w:rsid w:val="002E2B0F"/>
    <w:rsid w:val="002E34F7"/>
    <w:rsid w:val="002E762A"/>
    <w:rsid w:val="002E7D20"/>
    <w:rsid w:val="002F1006"/>
    <w:rsid w:val="002F1165"/>
    <w:rsid w:val="002F25A7"/>
    <w:rsid w:val="002F3631"/>
    <w:rsid w:val="00301222"/>
    <w:rsid w:val="00303A61"/>
    <w:rsid w:val="003044A1"/>
    <w:rsid w:val="0030565C"/>
    <w:rsid w:val="003077E5"/>
    <w:rsid w:val="00312A07"/>
    <w:rsid w:val="00314963"/>
    <w:rsid w:val="00316C8E"/>
    <w:rsid w:val="00317D08"/>
    <w:rsid w:val="0032019C"/>
    <w:rsid w:val="003226C4"/>
    <w:rsid w:val="00326D12"/>
    <w:rsid w:val="00326E15"/>
    <w:rsid w:val="00330B46"/>
    <w:rsid w:val="003407BB"/>
    <w:rsid w:val="00340E67"/>
    <w:rsid w:val="0034238D"/>
    <w:rsid w:val="0034247E"/>
    <w:rsid w:val="00345B59"/>
    <w:rsid w:val="00347BCC"/>
    <w:rsid w:val="00356837"/>
    <w:rsid w:val="0036169B"/>
    <w:rsid w:val="00363FD7"/>
    <w:rsid w:val="003642E2"/>
    <w:rsid w:val="00367BFF"/>
    <w:rsid w:val="0037071A"/>
    <w:rsid w:val="003709C2"/>
    <w:rsid w:val="00374519"/>
    <w:rsid w:val="00381088"/>
    <w:rsid w:val="00381477"/>
    <w:rsid w:val="003856CD"/>
    <w:rsid w:val="00387E7A"/>
    <w:rsid w:val="003913FE"/>
    <w:rsid w:val="00392F4C"/>
    <w:rsid w:val="00393A50"/>
    <w:rsid w:val="00396087"/>
    <w:rsid w:val="00397823"/>
    <w:rsid w:val="003A1993"/>
    <w:rsid w:val="003A1AAE"/>
    <w:rsid w:val="003A22EC"/>
    <w:rsid w:val="003A6313"/>
    <w:rsid w:val="003A6ACD"/>
    <w:rsid w:val="003B205E"/>
    <w:rsid w:val="003B226F"/>
    <w:rsid w:val="003C0D36"/>
    <w:rsid w:val="003C0FA1"/>
    <w:rsid w:val="003C2737"/>
    <w:rsid w:val="003C3457"/>
    <w:rsid w:val="003C3C6D"/>
    <w:rsid w:val="003C4227"/>
    <w:rsid w:val="003D2709"/>
    <w:rsid w:val="003D299D"/>
    <w:rsid w:val="003D33D8"/>
    <w:rsid w:val="003D6289"/>
    <w:rsid w:val="003D6DCD"/>
    <w:rsid w:val="003E453C"/>
    <w:rsid w:val="003E5BA6"/>
    <w:rsid w:val="003E63C8"/>
    <w:rsid w:val="003F070C"/>
    <w:rsid w:val="003F0812"/>
    <w:rsid w:val="00401CCA"/>
    <w:rsid w:val="00412AD2"/>
    <w:rsid w:val="004132A1"/>
    <w:rsid w:val="004175B2"/>
    <w:rsid w:val="00422234"/>
    <w:rsid w:val="00425726"/>
    <w:rsid w:val="00425D80"/>
    <w:rsid w:val="00434D45"/>
    <w:rsid w:val="00437919"/>
    <w:rsid w:val="00437BAE"/>
    <w:rsid w:val="004415A6"/>
    <w:rsid w:val="004435CD"/>
    <w:rsid w:val="00447811"/>
    <w:rsid w:val="00452727"/>
    <w:rsid w:val="00452957"/>
    <w:rsid w:val="004551BA"/>
    <w:rsid w:val="00464B13"/>
    <w:rsid w:val="00472E6E"/>
    <w:rsid w:val="00474096"/>
    <w:rsid w:val="0047419E"/>
    <w:rsid w:val="00474D14"/>
    <w:rsid w:val="00476417"/>
    <w:rsid w:val="00482324"/>
    <w:rsid w:val="00482BC5"/>
    <w:rsid w:val="0048524E"/>
    <w:rsid w:val="004868A1"/>
    <w:rsid w:val="0048778E"/>
    <w:rsid w:val="00492C55"/>
    <w:rsid w:val="004A3153"/>
    <w:rsid w:val="004A44D4"/>
    <w:rsid w:val="004A5813"/>
    <w:rsid w:val="004B747C"/>
    <w:rsid w:val="004B780D"/>
    <w:rsid w:val="004C2610"/>
    <w:rsid w:val="004E06F5"/>
    <w:rsid w:val="004E1153"/>
    <w:rsid w:val="004E2B9C"/>
    <w:rsid w:val="004E5EA7"/>
    <w:rsid w:val="004F1250"/>
    <w:rsid w:val="004F20EB"/>
    <w:rsid w:val="004F3964"/>
    <w:rsid w:val="004F6582"/>
    <w:rsid w:val="00502CC7"/>
    <w:rsid w:val="00504C72"/>
    <w:rsid w:val="005055C8"/>
    <w:rsid w:val="00506C3D"/>
    <w:rsid w:val="00507114"/>
    <w:rsid w:val="00515160"/>
    <w:rsid w:val="0051578B"/>
    <w:rsid w:val="0051598E"/>
    <w:rsid w:val="00516894"/>
    <w:rsid w:val="00517E2F"/>
    <w:rsid w:val="00521A2C"/>
    <w:rsid w:val="005250FF"/>
    <w:rsid w:val="005254F7"/>
    <w:rsid w:val="005257E1"/>
    <w:rsid w:val="0052639B"/>
    <w:rsid w:val="00526EE7"/>
    <w:rsid w:val="005342C7"/>
    <w:rsid w:val="00534FDB"/>
    <w:rsid w:val="00535A96"/>
    <w:rsid w:val="00535CCB"/>
    <w:rsid w:val="00536314"/>
    <w:rsid w:val="00543FDE"/>
    <w:rsid w:val="00546BEF"/>
    <w:rsid w:val="00547969"/>
    <w:rsid w:val="0055135E"/>
    <w:rsid w:val="005518B1"/>
    <w:rsid w:val="00554485"/>
    <w:rsid w:val="00555F7E"/>
    <w:rsid w:val="00557DBA"/>
    <w:rsid w:val="00563543"/>
    <w:rsid w:val="005708CF"/>
    <w:rsid w:val="00571A3D"/>
    <w:rsid w:val="00571C4F"/>
    <w:rsid w:val="00574EDC"/>
    <w:rsid w:val="0058046C"/>
    <w:rsid w:val="0058111C"/>
    <w:rsid w:val="00582C4E"/>
    <w:rsid w:val="00587558"/>
    <w:rsid w:val="005906F6"/>
    <w:rsid w:val="005916B4"/>
    <w:rsid w:val="00591C6E"/>
    <w:rsid w:val="00596D9C"/>
    <w:rsid w:val="005A32ED"/>
    <w:rsid w:val="005A76D2"/>
    <w:rsid w:val="005B0555"/>
    <w:rsid w:val="005B1FB5"/>
    <w:rsid w:val="005B4889"/>
    <w:rsid w:val="005B549D"/>
    <w:rsid w:val="005B56C0"/>
    <w:rsid w:val="005B57F1"/>
    <w:rsid w:val="005B5FDF"/>
    <w:rsid w:val="005B63ED"/>
    <w:rsid w:val="005C0D1C"/>
    <w:rsid w:val="005C3F94"/>
    <w:rsid w:val="005C5CC7"/>
    <w:rsid w:val="005C5D8C"/>
    <w:rsid w:val="005C7BE5"/>
    <w:rsid w:val="005D0DC8"/>
    <w:rsid w:val="005D0E22"/>
    <w:rsid w:val="005D130D"/>
    <w:rsid w:val="005D1886"/>
    <w:rsid w:val="005D1B43"/>
    <w:rsid w:val="005D6385"/>
    <w:rsid w:val="005E3328"/>
    <w:rsid w:val="005E4745"/>
    <w:rsid w:val="005F1076"/>
    <w:rsid w:val="005F22F9"/>
    <w:rsid w:val="005F4162"/>
    <w:rsid w:val="005F6F14"/>
    <w:rsid w:val="00601E54"/>
    <w:rsid w:val="006079BA"/>
    <w:rsid w:val="00611023"/>
    <w:rsid w:val="00615FA3"/>
    <w:rsid w:val="00616039"/>
    <w:rsid w:val="00620B32"/>
    <w:rsid w:val="0062108B"/>
    <w:rsid w:val="00623E78"/>
    <w:rsid w:val="00626352"/>
    <w:rsid w:val="006310CF"/>
    <w:rsid w:val="0063214E"/>
    <w:rsid w:val="00632341"/>
    <w:rsid w:val="00634250"/>
    <w:rsid w:val="00647277"/>
    <w:rsid w:val="00647291"/>
    <w:rsid w:val="00650C80"/>
    <w:rsid w:val="00652FED"/>
    <w:rsid w:val="006576FB"/>
    <w:rsid w:val="00664E9F"/>
    <w:rsid w:val="00667406"/>
    <w:rsid w:val="0067598C"/>
    <w:rsid w:val="00677C5D"/>
    <w:rsid w:val="00680C6C"/>
    <w:rsid w:val="00683301"/>
    <w:rsid w:val="00684544"/>
    <w:rsid w:val="00684F94"/>
    <w:rsid w:val="00687BAC"/>
    <w:rsid w:val="006919D8"/>
    <w:rsid w:val="0069537D"/>
    <w:rsid w:val="0069643D"/>
    <w:rsid w:val="006A0714"/>
    <w:rsid w:val="006A67E5"/>
    <w:rsid w:val="006A712A"/>
    <w:rsid w:val="006B1026"/>
    <w:rsid w:val="006B127E"/>
    <w:rsid w:val="006B254D"/>
    <w:rsid w:val="006B28F3"/>
    <w:rsid w:val="006B459D"/>
    <w:rsid w:val="006B65B9"/>
    <w:rsid w:val="006C03FE"/>
    <w:rsid w:val="006D3ECC"/>
    <w:rsid w:val="006D55F2"/>
    <w:rsid w:val="006E5C68"/>
    <w:rsid w:val="006E616F"/>
    <w:rsid w:val="006E656A"/>
    <w:rsid w:val="006F3E37"/>
    <w:rsid w:val="006F5899"/>
    <w:rsid w:val="006F6C38"/>
    <w:rsid w:val="006F7671"/>
    <w:rsid w:val="00703CD3"/>
    <w:rsid w:val="00706041"/>
    <w:rsid w:val="0071548F"/>
    <w:rsid w:val="00717431"/>
    <w:rsid w:val="007226BE"/>
    <w:rsid w:val="00722E07"/>
    <w:rsid w:val="00723829"/>
    <w:rsid w:val="00726E80"/>
    <w:rsid w:val="00732F4B"/>
    <w:rsid w:val="0073395A"/>
    <w:rsid w:val="0073588D"/>
    <w:rsid w:val="00743761"/>
    <w:rsid w:val="00746317"/>
    <w:rsid w:val="00747ECD"/>
    <w:rsid w:val="007501E6"/>
    <w:rsid w:val="00750FD9"/>
    <w:rsid w:val="00753290"/>
    <w:rsid w:val="00753530"/>
    <w:rsid w:val="00753B28"/>
    <w:rsid w:val="00753BE5"/>
    <w:rsid w:val="00757A49"/>
    <w:rsid w:val="007628C5"/>
    <w:rsid w:val="0076528C"/>
    <w:rsid w:val="00770EE9"/>
    <w:rsid w:val="00777959"/>
    <w:rsid w:val="00781E0D"/>
    <w:rsid w:val="00786426"/>
    <w:rsid w:val="00793422"/>
    <w:rsid w:val="0079442B"/>
    <w:rsid w:val="007944B8"/>
    <w:rsid w:val="007944EE"/>
    <w:rsid w:val="00797E6E"/>
    <w:rsid w:val="007A11A5"/>
    <w:rsid w:val="007A275C"/>
    <w:rsid w:val="007A469D"/>
    <w:rsid w:val="007B38E3"/>
    <w:rsid w:val="007B487B"/>
    <w:rsid w:val="007B4A40"/>
    <w:rsid w:val="007B5089"/>
    <w:rsid w:val="007B520A"/>
    <w:rsid w:val="007B59C8"/>
    <w:rsid w:val="007C1DF9"/>
    <w:rsid w:val="007C5604"/>
    <w:rsid w:val="007C677C"/>
    <w:rsid w:val="007D12CD"/>
    <w:rsid w:val="007D5534"/>
    <w:rsid w:val="007D5D4B"/>
    <w:rsid w:val="007D6A9B"/>
    <w:rsid w:val="007E367E"/>
    <w:rsid w:val="007E45EE"/>
    <w:rsid w:val="007E6107"/>
    <w:rsid w:val="007E6F54"/>
    <w:rsid w:val="007F1ED0"/>
    <w:rsid w:val="007F3493"/>
    <w:rsid w:val="007F496C"/>
    <w:rsid w:val="00804829"/>
    <w:rsid w:val="00805D6F"/>
    <w:rsid w:val="00810239"/>
    <w:rsid w:val="00812F5C"/>
    <w:rsid w:val="00822037"/>
    <w:rsid w:val="00823669"/>
    <w:rsid w:val="00830C56"/>
    <w:rsid w:val="00831182"/>
    <w:rsid w:val="00833452"/>
    <w:rsid w:val="00835A7F"/>
    <w:rsid w:val="00840853"/>
    <w:rsid w:val="00845047"/>
    <w:rsid w:val="00847A38"/>
    <w:rsid w:val="00850E96"/>
    <w:rsid w:val="008522AD"/>
    <w:rsid w:val="0085416D"/>
    <w:rsid w:val="008546C7"/>
    <w:rsid w:val="008552F4"/>
    <w:rsid w:val="008609ED"/>
    <w:rsid w:val="0086116F"/>
    <w:rsid w:val="00862422"/>
    <w:rsid w:val="0086273E"/>
    <w:rsid w:val="00863F49"/>
    <w:rsid w:val="00864429"/>
    <w:rsid w:val="00864E5D"/>
    <w:rsid w:val="0087173C"/>
    <w:rsid w:val="00874BE5"/>
    <w:rsid w:val="00877C30"/>
    <w:rsid w:val="008808D7"/>
    <w:rsid w:val="00880BFB"/>
    <w:rsid w:val="00881949"/>
    <w:rsid w:val="00886417"/>
    <w:rsid w:val="00886D7C"/>
    <w:rsid w:val="00887123"/>
    <w:rsid w:val="00887AD8"/>
    <w:rsid w:val="00887BD9"/>
    <w:rsid w:val="00892F8A"/>
    <w:rsid w:val="008969AC"/>
    <w:rsid w:val="008B0446"/>
    <w:rsid w:val="008B35DB"/>
    <w:rsid w:val="008B5B9A"/>
    <w:rsid w:val="008C00E1"/>
    <w:rsid w:val="008C0781"/>
    <w:rsid w:val="008C5F40"/>
    <w:rsid w:val="008C6603"/>
    <w:rsid w:val="008C6E4D"/>
    <w:rsid w:val="008D7728"/>
    <w:rsid w:val="008E10C5"/>
    <w:rsid w:val="008E2E50"/>
    <w:rsid w:val="008E34D6"/>
    <w:rsid w:val="008E49BB"/>
    <w:rsid w:val="008E6413"/>
    <w:rsid w:val="008E6665"/>
    <w:rsid w:val="008F1288"/>
    <w:rsid w:val="008F610B"/>
    <w:rsid w:val="0090094D"/>
    <w:rsid w:val="00901997"/>
    <w:rsid w:val="00905555"/>
    <w:rsid w:val="00912A90"/>
    <w:rsid w:val="00912E65"/>
    <w:rsid w:val="009158C0"/>
    <w:rsid w:val="00915D53"/>
    <w:rsid w:val="009164E5"/>
    <w:rsid w:val="009212F4"/>
    <w:rsid w:val="00921DC3"/>
    <w:rsid w:val="00922320"/>
    <w:rsid w:val="00924E1F"/>
    <w:rsid w:val="00925D40"/>
    <w:rsid w:val="00927274"/>
    <w:rsid w:val="00927966"/>
    <w:rsid w:val="00933F15"/>
    <w:rsid w:val="00935421"/>
    <w:rsid w:val="00935E55"/>
    <w:rsid w:val="009376AF"/>
    <w:rsid w:val="00943291"/>
    <w:rsid w:val="00943B85"/>
    <w:rsid w:val="00944790"/>
    <w:rsid w:val="009457AE"/>
    <w:rsid w:val="00945AB6"/>
    <w:rsid w:val="00945B01"/>
    <w:rsid w:val="00953A35"/>
    <w:rsid w:val="00957CE2"/>
    <w:rsid w:val="00961C2C"/>
    <w:rsid w:val="00963005"/>
    <w:rsid w:val="009657A7"/>
    <w:rsid w:val="00972991"/>
    <w:rsid w:val="00972C29"/>
    <w:rsid w:val="00974C31"/>
    <w:rsid w:val="009753C9"/>
    <w:rsid w:val="00975D7A"/>
    <w:rsid w:val="00976954"/>
    <w:rsid w:val="009771F8"/>
    <w:rsid w:val="00983B67"/>
    <w:rsid w:val="00984CE1"/>
    <w:rsid w:val="009869F8"/>
    <w:rsid w:val="009920B3"/>
    <w:rsid w:val="00992A4D"/>
    <w:rsid w:val="00993DF3"/>
    <w:rsid w:val="009A1183"/>
    <w:rsid w:val="009A211C"/>
    <w:rsid w:val="009A2CFE"/>
    <w:rsid w:val="009B2188"/>
    <w:rsid w:val="009B3952"/>
    <w:rsid w:val="009B5C79"/>
    <w:rsid w:val="009B683F"/>
    <w:rsid w:val="009B7D26"/>
    <w:rsid w:val="009C4C17"/>
    <w:rsid w:val="009D74D5"/>
    <w:rsid w:val="009E056C"/>
    <w:rsid w:val="009E0BB2"/>
    <w:rsid w:val="009E0FC0"/>
    <w:rsid w:val="009E345D"/>
    <w:rsid w:val="009E6BCF"/>
    <w:rsid w:val="009F0A15"/>
    <w:rsid w:val="009F281D"/>
    <w:rsid w:val="009F4965"/>
    <w:rsid w:val="00A01B5F"/>
    <w:rsid w:val="00A0299B"/>
    <w:rsid w:val="00A02B75"/>
    <w:rsid w:val="00A048F1"/>
    <w:rsid w:val="00A06259"/>
    <w:rsid w:val="00A0628A"/>
    <w:rsid w:val="00A07CD3"/>
    <w:rsid w:val="00A11C39"/>
    <w:rsid w:val="00A11D07"/>
    <w:rsid w:val="00A13D65"/>
    <w:rsid w:val="00A14419"/>
    <w:rsid w:val="00A14E24"/>
    <w:rsid w:val="00A21B21"/>
    <w:rsid w:val="00A2476C"/>
    <w:rsid w:val="00A31B44"/>
    <w:rsid w:val="00A32D75"/>
    <w:rsid w:val="00A33C99"/>
    <w:rsid w:val="00A35C22"/>
    <w:rsid w:val="00A368E1"/>
    <w:rsid w:val="00A36C4F"/>
    <w:rsid w:val="00A41777"/>
    <w:rsid w:val="00A43077"/>
    <w:rsid w:val="00A44C46"/>
    <w:rsid w:val="00A450A0"/>
    <w:rsid w:val="00A45CFA"/>
    <w:rsid w:val="00A463C5"/>
    <w:rsid w:val="00A514CB"/>
    <w:rsid w:val="00A53B5B"/>
    <w:rsid w:val="00A5630B"/>
    <w:rsid w:val="00A569DF"/>
    <w:rsid w:val="00A62106"/>
    <w:rsid w:val="00A66951"/>
    <w:rsid w:val="00A73FEB"/>
    <w:rsid w:val="00A800E9"/>
    <w:rsid w:val="00A82858"/>
    <w:rsid w:val="00A84D27"/>
    <w:rsid w:val="00A87C79"/>
    <w:rsid w:val="00AA0C6D"/>
    <w:rsid w:val="00AA18D8"/>
    <w:rsid w:val="00AA5F56"/>
    <w:rsid w:val="00AA6BCC"/>
    <w:rsid w:val="00AA6F48"/>
    <w:rsid w:val="00AA7AD8"/>
    <w:rsid w:val="00AB468E"/>
    <w:rsid w:val="00AB53DD"/>
    <w:rsid w:val="00AB5E52"/>
    <w:rsid w:val="00AB6A60"/>
    <w:rsid w:val="00AB6FF3"/>
    <w:rsid w:val="00AC1FEF"/>
    <w:rsid w:val="00AC20A9"/>
    <w:rsid w:val="00AC2F54"/>
    <w:rsid w:val="00AC6707"/>
    <w:rsid w:val="00AC6889"/>
    <w:rsid w:val="00AC75C1"/>
    <w:rsid w:val="00AD0597"/>
    <w:rsid w:val="00AD0F7C"/>
    <w:rsid w:val="00AD15EE"/>
    <w:rsid w:val="00AD2515"/>
    <w:rsid w:val="00AD5EED"/>
    <w:rsid w:val="00AE04E4"/>
    <w:rsid w:val="00AE0A8E"/>
    <w:rsid w:val="00AE12A3"/>
    <w:rsid w:val="00AE5C4E"/>
    <w:rsid w:val="00AE65C7"/>
    <w:rsid w:val="00AF4EE3"/>
    <w:rsid w:val="00B01D61"/>
    <w:rsid w:val="00B155BE"/>
    <w:rsid w:val="00B17494"/>
    <w:rsid w:val="00B20E0A"/>
    <w:rsid w:val="00B23B68"/>
    <w:rsid w:val="00B2519D"/>
    <w:rsid w:val="00B267AE"/>
    <w:rsid w:val="00B275E5"/>
    <w:rsid w:val="00B30F2F"/>
    <w:rsid w:val="00B31210"/>
    <w:rsid w:val="00B33037"/>
    <w:rsid w:val="00B33DC2"/>
    <w:rsid w:val="00B340F7"/>
    <w:rsid w:val="00B41B5D"/>
    <w:rsid w:val="00B46259"/>
    <w:rsid w:val="00B4745A"/>
    <w:rsid w:val="00B630EF"/>
    <w:rsid w:val="00B64418"/>
    <w:rsid w:val="00B64618"/>
    <w:rsid w:val="00B6621A"/>
    <w:rsid w:val="00B671EF"/>
    <w:rsid w:val="00B72730"/>
    <w:rsid w:val="00B8149F"/>
    <w:rsid w:val="00B82145"/>
    <w:rsid w:val="00B8220A"/>
    <w:rsid w:val="00B82A5A"/>
    <w:rsid w:val="00B87846"/>
    <w:rsid w:val="00B916E0"/>
    <w:rsid w:val="00B93C3F"/>
    <w:rsid w:val="00BA004D"/>
    <w:rsid w:val="00BA5CB2"/>
    <w:rsid w:val="00BB1E41"/>
    <w:rsid w:val="00BB345E"/>
    <w:rsid w:val="00BB3DD4"/>
    <w:rsid w:val="00BB4874"/>
    <w:rsid w:val="00BC1731"/>
    <w:rsid w:val="00BC2404"/>
    <w:rsid w:val="00BC6FA1"/>
    <w:rsid w:val="00BC7394"/>
    <w:rsid w:val="00BD4A01"/>
    <w:rsid w:val="00BD4D6C"/>
    <w:rsid w:val="00BD781B"/>
    <w:rsid w:val="00BE50B1"/>
    <w:rsid w:val="00BE5586"/>
    <w:rsid w:val="00BE5751"/>
    <w:rsid w:val="00BE5CB9"/>
    <w:rsid w:val="00BF3752"/>
    <w:rsid w:val="00BF3A6B"/>
    <w:rsid w:val="00C0133D"/>
    <w:rsid w:val="00C0351A"/>
    <w:rsid w:val="00C05C32"/>
    <w:rsid w:val="00C07CF9"/>
    <w:rsid w:val="00C10182"/>
    <w:rsid w:val="00C13BE4"/>
    <w:rsid w:val="00C14430"/>
    <w:rsid w:val="00C15004"/>
    <w:rsid w:val="00C154A6"/>
    <w:rsid w:val="00C15754"/>
    <w:rsid w:val="00C15EE8"/>
    <w:rsid w:val="00C1651A"/>
    <w:rsid w:val="00C17B5F"/>
    <w:rsid w:val="00C17F05"/>
    <w:rsid w:val="00C22B3B"/>
    <w:rsid w:val="00C255E0"/>
    <w:rsid w:val="00C260D4"/>
    <w:rsid w:val="00C27089"/>
    <w:rsid w:val="00C33129"/>
    <w:rsid w:val="00C35896"/>
    <w:rsid w:val="00C35DF2"/>
    <w:rsid w:val="00C4090F"/>
    <w:rsid w:val="00C4624F"/>
    <w:rsid w:val="00C47B70"/>
    <w:rsid w:val="00C52F4F"/>
    <w:rsid w:val="00C56688"/>
    <w:rsid w:val="00C566F6"/>
    <w:rsid w:val="00C61A12"/>
    <w:rsid w:val="00C6389F"/>
    <w:rsid w:val="00C63E08"/>
    <w:rsid w:val="00C71108"/>
    <w:rsid w:val="00C72242"/>
    <w:rsid w:val="00C74513"/>
    <w:rsid w:val="00C814BC"/>
    <w:rsid w:val="00C861AF"/>
    <w:rsid w:val="00C91152"/>
    <w:rsid w:val="00C939F1"/>
    <w:rsid w:val="00C97F0C"/>
    <w:rsid w:val="00CA5D86"/>
    <w:rsid w:val="00CB0302"/>
    <w:rsid w:val="00CB29ED"/>
    <w:rsid w:val="00CB5714"/>
    <w:rsid w:val="00CC038C"/>
    <w:rsid w:val="00CC0F6E"/>
    <w:rsid w:val="00CC4542"/>
    <w:rsid w:val="00CC7A14"/>
    <w:rsid w:val="00CD2C82"/>
    <w:rsid w:val="00CD3826"/>
    <w:rsid w:val="00CD5773"/>
    <w:rsid w:val="00CD660D"/>
    <w:rsid w:val="00CE2DB0"/>
    <w:rsid w:val="00CE373F"/>
    <w:rsid w:val="00CE52A3"/>
    <w:rsid w:val="00CE579F"/>
    <w:rsid w:val="00CE680B"/>
    <w:rsid w:val="00CF5249"/>
    <w:rsid w:val="00D00051"/>
    <w:rsid w:val="00D015F6"/>
    <w:rsid w:val="00D03FA2"/>
    <w:rsid w:val="00D04EF4"/>
    <w:rsid w:val="00D11504"/>
    <w:rsid w:val="00D11D12"/>
    <w:rsid w:val="00D13415"/>
    <w:rsid w:val="00D13E08"/>
    <w:rsid w:val="00D16A1B"/>
    <w:rsid w:val="00D2299A"/>
    <w:rsid w:val="00D23BE3"/>
    <w:rsid w:val="00D320CB"/>
    <w:rsid w:val="00D32CD8"/>
    <w:rsid w:val="00D3330D"/>
    <w:rsid w:val="00D336D4"/>
    <w:rsid w:val="00D343EA"/>
    <w:rsid w:val="00D365BA"/>
    <w:rsid w:val="00D404A3"/>
    <w:rsid w:val="00D40BA7"/>
    <w:rsid w:val="00D44E29"/>
    <w:rsid w:val="00D5485C"/>
    <w:rsid w:val="00D56B87"/>
    <w:rsid w:val="00D56C23"/>
    <w:rsid w:val="00D579DF"/>
    <w:rsid w:val="00D62FC3"/>
    <w:rsid w:val="00D64CC4"/>
    <w:rsid w:val="00D64ED3"/>
    <w:rsid w:val="00D65BEA"/>
    <w:rsid w:val="00D66383"/>
    <w:rsid w:val="00D67EDD"/>
    <w:rsid w:val="00D73701"/>
    <w:rsid w:val="00D73EAC"/>
    <w:rsid w:val="00D750A6"/>
    <w:rsid w:val="00D7610B"/>
    <w:rsid w:val="00D76B1E"/>
    <w:rsid w:val="00D842D3"/>
    <w:rsid w:val="00D92256"/>
    <w:rsid w:val="00D92A4C"/>
    <w:rsid w:val="00D93AED"/>
    <w:rsid w:val="00D94427"/>
    <w:rsid w:val="00D946CE"/>
    <w:rsid w:val="00D94B69"/>
    <w:rsid w:val="00D94D45"/>
    <w:rsid w:val="00DA13C1"/>
    <w:rsid w:val="00DA19E2"/>
    <w:rsid w:val="00DA29BB"/>
    <w:rsid w:val="00DA56F2"/>
    <w:rsid w:val="00DB099D"/>
    <w:rsid w:val="00DB1E5B"/>
    <w:rsid w:val="00DB38CE"/>
    <w:rsid w:val="00DB4CFE"/>
    <w:rsid w:val="00DC119C"/>
    <w:rsid w:val="00DD2FCE"/>
    <w:rsid w:val="00DD3F3D"/>
    <w:rsid w:val="00DE02B1"/>
    <w:rsid w:val="00DE3468"/>
    <w:rsid w:val="00DF1DBC"/>
    <w:rsid w:val="00DF22E8"/>
    <w:rsid w:val="00DF7773"/>
    <w:rsid w:val="00E00E9B"/>
    <w:rsid w:val="00E02883"/>
    <w:rsid w:val="00E034E2"/>
    <w:rsid w:val="00E0452E"/>
    <w:rsid w:val="00E04978"/>
    <w:rsid w:val="00E05238"/>
    <w:rsid w:val="00E0606C"/>
    <w:rsid w:val="00E10786"/>
    <w:rsid w:val="00E123A8"/>
    <w:rsid w:val="00E1399B"/>
    <w:rsid w:val="00E14D4A"/>
    <w:rsid w:val="00E214FE"/>
    <w:rsid w:val="00E30A84"/>
    <w:rsid w:val="00E31D6E"/>
    <w:rsid w:val="00E330D5"/>
    <w:rsid w:val="00E3530F"/>
    <w:rsid w:val="00E35C6E"/>
    <w:rsid w:val="00E36B7A"/>
    <w:rsid w:val="00E37255"/>
    <w:rsid w:val="00E42049"/>
    <w:rsid w:val="00E44F38"/>
    <w:rsid w:val="00E51ACC"/>
    <w:rsid w:val="00E5212F"/>
    <w:rsid w:val="00E53754"/>
    <w:rsid w:val="00E63016"/>
    <w:rsid w:val="00E651CB"/>
    <w:rsid w:val="00E65645"/>
    <w:rsid w:val="00E66966"/>
    <w:rsid w:val="00E72A8D"/>
    <w:rsid w:val="00E76227"/>
    <w:rsid w:val="00E7706C"/>
    <w:rsid w:val="00E77C42"/>
    <w:rsid w:val="00E8095D"/>
    <w:rsid w:val="00E81906"/>
    <w:rsid w:val="00E8208D"/>
    <w:rsid w:val="00E83A68"/>
    <w:rsid w:val="00E902D2"/>
    <w:rsid w:val="00E93F3F"/>
    <w:rsid w:val="00E97B72"/>
    <w:rsid w:val="00EA78B8"/>
    <w:rsid w:val="00EA7D83"/>
    <w:rsid w:val="00EB0197"/>
    <w:rsid w:val="00EC1CAE"/>
    <w:rsid w:val="00EC2FFA"/>
    <w:rsid w:val="00ED150F"/>
    <w:rsid w:val="00ED1C5C"/>
    <w:rsid w:val="00ED4419"/>
    <w:rsid w:val="00ED6BA4"/>
    <w:rsid w:val="00EE112E"/>
    <w:rsid w:val="00EE2FDB"/>
    <w:rsid w:val="00EE52BD"/>
    <w:rsid w:val="00EF07AA"/>
    <w:rsid w:val="00EF4A34"/>
    <w:rsid w:val="00EF7115"/>
    <w:rsid w:val="00EF7409"/>
    <w:rsid w:val="00F00589"/>
    <w:rsid w:val="00F0364F"/>
    <w:rsid w:val="00F0385C"/>
    <w:rsid w:val="00F06DB0"/>
    <w:rsid w:val="00F07FE4"/>
    <w:rsid w:val="00F11569"/>
    <w:rsid w:val="00F115B2"/>
    <w:rsid w:val="00F11F12"/>
    <w:rsid w:val="00F13BD3"/>
    <w:rsid w:val="00F13D3C"/>
    <w:rsid w:val="00F22424"/>
    <w:rsid w:val="00F233EC"/>
    <w:rsid w:val="00F23498"/>
    <w:rsid w:val="00F259C9"/>
    <w:rsid w:val="00F260B6"/>
    <w:rsid w:val="00F2658F"/>
    <w:rsid w:val="00F36434"/>
    <w:rsid w:val="00F376E9"/>
    <w:rsid w:val="00F404D8"/>
    <w:rsid w:val="00F41731"/>
    <w:rsid w:val="00F421E3"/>
    <w:rsid w:val="00F5212F"/>
    <w:rsid w:val="00F52736"/>
    <w:rsid w:val="00F54142"/>
    <w:rsid w:val="00F7602F"/>
    <w:rsid w:val="00F76F44"/>
    <w:rsid w:val="00F80F5C"/>
    <w:rsid w:val="00F810DA"/>
    <w:rsid w:val="00F82FE5"/>
    <w:rsid w:val="00F87913"/>
    <w:rsid w:val="00F940A9"/>
    <w:rsid w:val="00F94E28"/>
    <w:rsid w:val="00F96044"/>
    <w:rsid w:val="00FA0A29"/>
    <w:rsid w:val="00FA387D"/>
    <w:rsid w:val="00FA7341"/>
    <w:rsid w:val="00FB0DAF"/>
    <w:rsid w:val="00FB1BC3"/>
    <w:rsid w:val="00FB624B"/>
    <w:rsid w:val="00FC0AF6"/>
    <w:rsid w:val="00FC33FD"/>
    <w:rsid w:val="00FC455D"/>
    <w:rsid w:val="00FC4A44"/>
    <w:rsid w:val="00FC5046"/>
    <w:rsid w:val="00FD09AB"/>
    <w:rsid w:val="00FD1D13"/>
    <w:rsid w:val="00FD22A8"/>
    <w:rsid w:val="00FD5EB2"/>
    <w:rsid w:val="00FE0649"/>
    <w:rsid w:val="00FE1A98"/>
    <w:rsid w:val="00FE37B2"/>
    <w:rsid w:val="00FE4424"/>
    <w:rsid w:val="00FE4911"/>
    <w:rsid w:val="00FE6DD0"/>
    <w:rsid w:val="00FE735A"/>
    <w:rsid w:val="00FF1E85"/>
    <w:rsid w:val="00FF2736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25A"/>
  <w15:docId w15:val="{F1149C0C-B28E-438B-93AD-4A0E3DB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88"/>
    <w:pPr>
      <w:spacing w:after="0" w:line="240" w:lineRule="auto"/>
    </w:pPr>
    <w:rPr>
      <w:rFonts w:asciiTheme="majorHAnsi" w:hAnsiTheme="majorHAns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C56688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688"/>
    <w:rPr>
      <w:rFonts w:ascii="Times New Roman" w:eastAsia="Times New Roman" w:hAnsi="Times New Roman" w:cs="Times New Roman"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C56688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C5668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C56688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semiHidden/>
    <w:unhideWhenUsed/>
    <w:rsid w:val="00C5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6688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566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66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566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6688"/>
    <w:rPr>
      <w:lang w:val="sq-AL"/>
    </w:rPr>
  </w:style>
  <w:style w:type="numbering" w:customStyle="1" w:styleId="NoList1">
    <w:name w:val="No List1"/>
    <w:next w:val="NoList"/>
    <w:semiHidden/>
    <w:rsid w:val="00C56688"/>
  </w:style>
  <w:style w:type="paragraph" w:styleId="BodyText">
    <w:name w:val="Body Text"/>
    <w:basedOn w:val="Normal"/>
    <w:link w:val="BodyTextChar"/>
    <w:rsid w:val="00C56688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6688"/>
    <w:rPr>
      <w:rFonts w:ascii="Times New Roman" w:eastAsia="Times New Roman" w:hAnsi="Times New Roman" w:cs="Times New Roman"/>
      <w:sz w:val="24"/>
      <w:szCs w:val="20"/>
      <w:lang w:val="sq-AL"/>
    </w:rPr>
  </w:style>
  <w:style w:type="table" w:customStyle="1" w:styleId="TableGrid1">
    <w:name w:val="Table Grid1"/>
    <w:basedOn w:val="TableNormal"/>
    <w:next w:val="TableGrid"/>
    <w:rsid w:val="00C5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66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6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688"/>
    <w:rPr>
      <w:rFonts w:asciiTheme="majorHAnsi" w:hAnsiTheme="majorHAns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688"/>
    <w:rPr>
      <w:rFonts w:asciiTheme="majorHAnsi" w:hAnsiTheme="majorHAnsi" w:cs="Times New Roman"/>
      <w:b/>
      <w:bCs/>
      <w:sz w:val="20"/>
      <w:szCs w:val="20"/>
      <w:lang w:val="sq-AL"/>
    </w:rPr>
  </w:style>
  <w:style w:type="paragraph" w:customStyle="1" w:styleId="pf0">
    <w:name w:val="pf0"/>
    <w:basedOn w:val="Normal"/>
    <w:rsid w:val="00C10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C1018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1018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278AF"/>
    <w:pPr>
      <w:spacing w:after="0" w:line="240" w:lineRule="auto"/>
    </w:pPr>
    <w:rPr>
      <w:rFonts w:asciiTheme="majorHAnsi" w:hAnsiTheme="majorHAns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129E-DC99-4566-A816-2865A9A4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Besart Shala</cp:lastModifiedBy>
  <cp:revision>4</cp:revision>
  <cp:lastPrinted>2024-02-13T12:40:00Z</cp:lastPrinted>
  <dcterms:created xsi:type="dcterms:W3CDTF">2024-02-21T12:35:00Z</dcterms:created>
  <dcterms:modified xsi:type="dcterms:W3CDTF">2024-02-23T14:11:00Z</dcterms:modified>
</cp:coreProperties>
</file>