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8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918E8" w:rsidRPr="003B1CFC" w14:paraId="3F2713C0" w14:textId="77777777" w:rsidTr="001918E8">
        <w:tc>
          <w:tcPr>
            <w:tcW w:w="93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66F0CE4B" w14:textId="77777777" w:rsidR="001918E8" w:rsidRPr="003B1CFC" w:rsidRDefault="001918E8" w:rsidP="001918E8">
            <w:pPr>
              <w:spacing w:after="0" w:line="240" w:lineRule="auto"/>
              <w:jc w:val="center"/>
              <w:rPr>
                <w:rFonts w:ascii="Cambria" w:eastAsia="Calibri" w:hAnsi="Cambria"/>
              </w:rPr>
            </w:pPr>
            <w:r w:rsidRPr="003B1CFC">
              <w:rPr>
                <w:rFonts w:ascii="Cambria" w:eastAsia="Calibri" w:hAnsi="Cambria"/>
                <w:noProof/>
                <w:lang w:eastAsia="sq-AL"/>
              </w:rPr>
              <w:drawing>
                <wp:inline distT="0" distB="0" distL="0" distR="0" wp14:anchorId="26AF9547" wp14:editId="38FE7FB0">
                  <wp:extent cx="828675" cy="933450"/>
                  <wp:effectExtent l="0" t="0" r="9525" b="0"/>
                  <wp:docPr id="1" name="Picture 1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8E8" w:rsidRPr="003B1CFC" w14:paraId="121CB5A9" w14:textId="77777777" w:rsidTr="001918E8">
        <w:tc>
          <w:tcPr>
            <w:tcW w:w="9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592D73EE" w14:textId="77777777" w:rsidR="001918E8" w:rsidRPr="003B1CFC" w:rsidRDefault="001918E8" w:rsidP="001918E8">
            <w:pPr>
              <w:tabs>
                <w:tab w:val="left" w:pos="184"/>
                <w:tab w:val="left" w:pos="252"/>
                <w:tab w:val="center" w:pos="2198"/>
              </w:tabs>
              <w:spacing w:after="0" w:line="240" w:lineRule="auto"/>
              <w:jc w:val="center"/>
              <w:outlineLvl w:val="1"/>
              <w:rPr>
                <w:rFonts w:ascii="Cambria" w:eastAsia="Calibri" w:hAnsi="Cambria" w:cs="Aparajita"/>
                <w:b/>
                <w:sz w:val="23"/>
                <w:szCs w:val="23"/>
              </w:rPr>
            </w:pPr>
            <w:r w:rsidRPr="003B1CFC">
              <w:rPr>
                <w:rFonts w:ascii="Cambria" w:eastAsia="Calibri" w:hAnsi="Cambria" w:cs="Aparajita"/>
                <w:b/>
                <w:sz w:val="23"/>
                <w:szCs w:val="23"/>
              </w:rPr>
              <w:t>REPUBLIKA E KOSOVËS</w:t>
            </w:r>
          </w:p>
          <w:p w14:paraId="3FC560BB" w14:textId="77777777" w:rsidR="001918E8" w:rsidRPr="003B1CFC" w:rsidRDefault="001918E8" w:rsidP="001918E8">
            <w:pPr>
              <w:spacing w:after="120" w:line="240" w:lineRule="auto"/>
              <w:jc w:val="center"/>
              <w:rPr>
                <w:rFonts w:ascii="Cambria" w:eastAsia="Calibri" w:hAnsi="Cambria"/>
              </w:rPr>
            </w:pPr>
            <w:r w:rsidRPr="003B1CFC">
              <w:rPr>
                <w:rFonts w:ascii="Cambria" w:eastAsia="Calibri" w:hAnsi="Cambria" w:cs="Aparajita"/>
                <w:sz w:val="21"/>
                <w:szCs w:val="21"/>
              </w:rPr>
              <w:t>REPUBLIKA KOSOVA – REPUBLIC OF KOSOVO</w:t>
            </w:r>
          </w:p>
        </w:tc>
      </w:tr>
      <w:tr w:rsidR="001918E8" w:rsidRPr="003B1CFC" w14:paraId="41835F3E" w14:textId="77777777" w:rsidTr="001918E8">
        <w:trPr>
          <w:trHeight w:val="755"/>
        </w:trPr>
        <w:tc>
          <w:tcPr>
            <w:tcW w:w="9360" w:type="dxa"/>
            <w:tcBorders>
              <w:top w:val="single" w:sz="4" w:space="0" w:color="FFFFFF"/>
              <w:left w:val="nil"/>
              <w:bottom w:val="single" w:sz="12" w:space="0" w:color="335A89"/>
              <w:right w:val="nil"/>
            </w:tcBorders>
            <w:shd w:val="clear" w:color="auto" w:fill="auto"/>
          </w:tcPr>
          <w:p w14:paraId="7271D20F" w14:textId="77777777" w:rsidR="001918E8" w:rsidRPr="003B1CFC" w:rsidRDefault="001918E8" w:rsidP="001918E8">
            <w:pPr>
              <w:tabs>
                <w:tab w:val="left" w:pos="184"/>
                <w:tab w:val="left" w:pos="252"/>
                <w:tab w:val="center" w:pos="2198"/>
              </w:tabs>
              <w:spacing w:after="0" w:line="240" w:lineRule="auto"/>
              <w:jc w:val="center"/>
              <w:outlineLvl w:val="1"/>
              <w:rPr>
                <w:rFonts w:ascii="Cambria" w:eastAsia="Calibri" w:hAnsi="Cambria" w:cs="Aparajita"/>
                <w:b/>
                <w:sz w:val="23"/>
                <w:szCs w:val="23"/>
              </w:rPr>
            </w:pPr>
            <w:r w:rsidRPr="003B1CFC">
              <w:rPr>
                <w:rFonts w:ascii="Cambria" w:eastAsia="Calibri" w:hAnsi="Cambria" w:cs="Aparajita"/>
                <w:b/>
                <w:sz w:val="23"/>
                <w:szCs w:val="23"/>
              </w:rPr>
              <w:t>KËSHILLI GJYQËSOR I KOSOVËS</w:t>
            </w:r>
          </w:p>
          <w:p w14:paraId="13947619" w14:textId="77777777" w:rsidR="001918E8" w:rsidRPr="003B1CFC" w:rsidRDefault="001918E8" w:rsidP="001918E8">
            <w:pPr>
              <w:spacing w:after="120" w:line="240" w:lineRule="auto"/>
              <w:jc w:val="center"/>
              <w:rPr>
                <w:rFonts w:ascii="Cambria" w:eastAsia="Calibri" w:hAnsi="Cambria"/>
                <w:sz w:val="21"/>
                <w:szCs w:val="21"/>
              </w:rPr>
            </w:pPr>
            <w:r w:rsidRPr="003B1CFC">
              <w:rPr>
                <w:rFonts w:ascii="Cambria" w:eastAsia="Calibri" w:hAnsi="Cambria" w:cs="Aparajita"/>
                <w:sz w:val="21"/>
                <w:szCs w:val="21"/>
              </w:rPr>
              <w:t>SUDSKI SAVET KOSOVA - KOSOVO JUDICIAL COUNCIL</w:t>
            </w:r>
          </w:p>
        </w:tc>
      </w:tr>
    </w:tbl>
    <w:p w14:paraId="67E9B645" w14:textId="77777777" w:rsidR="003F3A45" w:rsidRDefault="003F3A45"/>
    <w:p w14:paraId="0C0272BA" w14:textId="77777777" w:rsidR="001918E8" w:rsidRPr="00842696" w:rsidRDefault="001918E8">
      <w:pPr>
        <w:rPr>
          <w:sz w:val="32"/>
          <w:szCs w:val="32"/>
        </w:rPr>
      </w:pPr>
    </w:p>
    <w:p w14:paraId="54F7EE22" w14:textId="77777777" w:rsidR="001918E8" w:rsidRPr="00842696" w:rsidRDefault="001918E8" w:rsidP="005848B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696">
        <w:rPr>
          <w:rFonts w:ascii="Times New Roman" w:hAnsi="Times New Roman" w:cs="Times New Roman"/>
          <w:b/>
          <w:bCs/>
          <w:sz w:val="28"/>
          <w:szCs w:val="28"/>
        </w:rPr>
        <w:t xml:space="preserve">MEMORANDUM SHPJEGUES </w:t>
      </w:r>
    </w:p>
    <w:p w14:paraId="60A25021" w14:textId="77777777" w:rsidR="00E44D4A" w:rsidRDefault="001918E8" w:rsidP="00E44D4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696">
        <w:rPr>
          <w:rFonts w:ascii="Times New Roman" w:hAnsi="Times New Roman" w:cs="Times New Roman"/>
          <w:b/>
          <w:bCs/>
          <w:sz w:val="28"/>
          <w:szCs w:val="28"/>
        </w:rPr>
        <w:t>PËR</w:t>
      </w:r>
      <w:r w:rsidR="00E44D4A">
        <w:rPr>
          <w:rFonts w:ascii="Times New Roman" w:hAnsi="Times New Roman" w:cs="Times New Roman"/>
          <w:b/>
          <w:bCs/>
          <w:sz w:val="28"/>
          <w:szCs w:val="28"/>
        </w:rPr>
        <w:t xml:space="preserve"> PROJEKT</w:t>
      </w:r>
      <w:r w:rsidR="005848B3" w:rsidRPr="005848B3">
        <w:rPr>
          <w:rFonts w:ascii="Times New Roman" w:hAnsi="Times New Roman" w:cs="Times New Roman"/>
          <w:b/>
          <w:bCs/>
          <w:sz w:val="28"/>
          <w:szCs w:val="28"/>
        </w:rPr>
        <w:t xml:space="preserve">RREGULLORE </w:t>
      </w:r>
      <w:r w:rsidR="00E44D4A">
        <w:rPr>
          <w:rFonts w:ascii="Times New Roman" w:hAnsi="Times New Roman" w:cs="Times New Roman"/>
          <w:b/>
          <w:bCs/>
          <w:sz w:val="28"/>
          <w:szCs w:val="28"/>
        </w:rPr>
        <w:t xml:space="preserve">NR. X/ 2023 </w:t>
      </w:r>
    </w:p>
    <w:p w14:paraId="4382C19D" w14:textId="5A288C7C" w:rsidR="005848B3" w:rsidRPr="005848B3" w:rsidRDefault="005848B3" w:rsidP="00E44D4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8B3">
        <w:rPr>
          <w:rFonts w:ascii="Times New Roman" w:hAnsi="Times New Roman" w:cs="Times New Roman"/>
          <w:b/>
          <w:bCs/>
          <w:sz w:val="28"/>
          <w:szCs w:val="28"/>
        </w:rPr>
        <w:t>PËR PROCEDURËN E REKRUTIMIT, PRANIMIT, EMËRIMIT DHE PUNËS PROVUESE PËR PËR TË PUNËSUARIT NË ADMINISTRATËN E SISTEMIT GJYQËSOR</w:t>
      </w:r>
    </w:p>
    <w:tbl>
      <w:tblPr>
        <w:tblStyle w:val="GridTable6Colorful-Accent5"/>
        <w:tblW w:w="9625" w:type="dxa"/>
        <w:tblLook w:val="04A0" w:firstRow="1" w:lastRow="0" w:firstColumn="1" w:lastColumn="0" w:noHBand="0" w:noVBand="1"/>
      </w:tblPr>
      <w:tblGrid>
        <w:gridCol w:w="4496"/>
        <w:gridCol w:w="5129"/>
      </w:tblGrid>
      <w:tr w:rsidR="007621C4" w14:paraId="30FE5D10" w14:textId="77777777" w:rsidTr="00ED0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14:paraId="757B87E4" w14:textId="77777777" w:rsidR="001918E8" w:rsidRPr="001918E8" w:rsidRDefault="001918E8" w:rsidP="00564DE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1918E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t>1. Qëllimi i hartimit të aktit normative</w:t>
            </w:r>
          </w:p>
          <w:p w14:paraId="1F193E93" w14:textId="77777777" w:rsidR="001918E8" w:rsidRPr="001918E8" w:rsidRDefault="001918E8" w:rsidP="00564DE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14:paraId="268253E9" w14:textId="77777777" w:rsidR="001918E8" w:rsidRPr="001918E8" w:rsidRDefault="001918E8" w:rsidP="00564DE5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5129" w:type="dxa"/>
          </w:tcPr>
          <w:p w14:paraId="542D2D0D" w14:textId="0DA5AFCC" w:rsidR="00495BC7" w:rsidRPr="00BF15D3" w:rsidRDefault="00DC7FEB" w:rsidP="00ED32C4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Projekt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44D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</w:t>
            </w:r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regullorja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Nr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="00BF15D3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X/</w:t>
            </w:r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2024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44D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</w:t>
            </w:r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rocedurën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="00E44D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</w:t>
            </w:r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ekrutimit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E44D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</w:t>
            </w:r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ranimit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E44D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</w:t>
            </w:r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mërimit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dhe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44D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</w:t>
            </w:r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unës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44D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</w:t>
            </w:r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rovuese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44D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</w:t>
            </w:r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unësuarit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44D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</w:t>
            </w:r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dministratën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="00ED32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</w:t>
            </w:r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istemit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D32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</w:t>
            </w:r>
            <w:r w:rsidR="003A23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jyqësor</w:t>
            </w:r>
            <w:proofErr w:type="spellEnd"/>
            <w:r w:rsidR="003A23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</w:t>
            </w:r>
            <w:r w:rsidR="00ED32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ynon</w:t>
            </w:r>
            <w:proofErr w:type="spellEnd"/>
            <w:r w:rsidR="00ED32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D32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="00ED32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D32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përcaktojë</w:t>
            </w:r>
            <w:proofErr w:type="spellEnd"/>
            <w:r w:rsidR="00ED32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D32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kriteret</w:t>
            </w:r>
            <w:proofErr w:type="spellEnd"/>
            <w:r w:rsidR="00ED32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D32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dhe</w:t>
            </w:r>
            <w:proofErr w:type="spellEnd"/>
            <w:r w:rsidR="00ED32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përcaktimin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rregullave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dhe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procedurave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punësimin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personelit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administratën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gjyqësore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duke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siguruar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që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ky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proces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bazohet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parime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profesionalizmit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integritetit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dhe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barazisë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gjinore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gjitha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fazat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punësimit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14:paraId="64261F7E" w14:textId="77777777" w:rsidR="00495BC7" w:rsidRPr="00BF15D3" w:rsidRDefault="00495BC7" w:rsidP="00ED32C4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25930176" w14:textId="4977220A" w:rsidR="00495BC7" w:rsidRPr="00BF15D3" w:rsidRDefault="00ED32C4" w:rsidP="00ED32C4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Projekt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</w:t>
            </w:r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regullorja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përcakton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disa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lloje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komisioneve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që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themelohen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përfshirjen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këtë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proces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si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komisioni</w:t>
            </w:r>
            <w:r w:rsidR="00E75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="00E75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</w:t>
            </w:r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pranimit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kategorinë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̈ e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ulët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dhe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te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̈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mesme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drejtuese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komision</w:t>
            </w:r>
            <w:r w:rsidR="00E75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</w:t>
            </w:r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e 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pranimit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pozita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kategorisë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profesionale</w:t>
            </w:r>
            <w:proofErr w:type="spellEnd"/>
            <w:r w:rsidR="00E75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komisioni</w:t>
            </w:r>
            <w:r w:rsidR="00E75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e 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pranimit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pozita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kategorinë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specialiste</w:t>
            </w:r>
            <w:r w:rsidR="00377A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ve</w:t>
            </w:r>
            <w:proofErr w:type="spellEnd"/>
            <w:r w:rsidR="00E75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75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dhe</w:t>
            </w:r>
            <w:proofErr w:type="spellEnd"/>
            <w:r w:rsidR="00E75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7582A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komisioni</w:t>
            </w:r>
            <w:r w:rsidR="00E75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</w:t>
            </w:r>
            <w:proofErr w:type="spellEnd"/>
            <w:r w:rsidR="00E7582A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e  </w:t>
            </w:r>
            <w:proofErr w:type="spellStart"/>
            <w:r w:rsidR="00E7582A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pranimit</w:t>
            </w:r>
            <w:proofErr w:type="spellEnd"/>
            <w:r w:rsidR="00E7582A" w:rsidRPr="00D41CCC">
              <w:t xml:space="preserve"> </w:t>
            </w:r>
            <w:proofErr w:type="spellStart"/>
            <w:r w:rsidR="00E7582A" w:rsidRPr="00E75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</w:t>
            </w:r>
            <w:proofErr w:type="spellEnd"/>
            <w:r w:rsidR="00E7582A" w:rsidRPr="00E75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7582A" w:rsidRPr="00E75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pozita</w:t>
            </w:r>
            <w:proofErr w:type="spellEnd"/>
            <w:r w:rsidR="00E7582A" w:rsidRPr="00E75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7582A" w:rsidRPr="00E75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="00E7582A" w:rsidRPr="00E75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7582A" w:rsidRPr="00E75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kategorisë</w:t>
            </w:r>
            <w:proofErr w:type="spellEnd"/>
            <w:r w:rsidR="00E7582A" w:rsidRPr="00E75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7582A" w:rsidRPr="00E75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staf</w:t>
            </w:r>
            <w:proofErr w:type="spellEnd"/>
            <w:r w:rsidR="00E7582A" w:rsidRPr="00E75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7582A" w:rsidRPr="00E75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teknik</w:t>
            </w:r>
            <w:proofErr w:type="spellEnd"/>
            <w:r w:rsidR="00E7582A" w:rsidRPr="00E75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7582A" w:rsidRPr="00E75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dhe</w:t>
            </w:r>
            <w:proofErr w:type="spellEnd"/>
            <w:r w:rsidR="00E7582A" w:rsidRPr="00E75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7582A" w:rsidRPr="00E75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mbështetës</w:t>
            </w:r>
            <w:proofErr w:type="spellEnd"/>
            <w:r w:rsidR="00495BC7" w:rsidRPr="00E75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Çdo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komision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ka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përgjegjësi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veçanta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dhe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kritere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vlerësimin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kandidatëve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pozitat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ndryshme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14:paraId="7F1B06A2" w14:textId="77777777" w:rsidR="00397D16" w:rsidRDefault="00397D16" w:rsidP="00DC7FEB">
            <w:pPr>
              <w:tabs>
                <w:tab w:val="left" w:pos="270"/>
              </w:tabs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1D5DEC13" w14:textId="77777777" w:rsidR="00377AB6" w:rsidRDefault="00495BC7" w:rsidP="00DC7FEB">
            <w:pPr>
              <w:tabs>
                <w:tab w:val="left" w:pos="270"/>
              </w:tabs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Procedura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pranimit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sipas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rregullores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zhvillohet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në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dy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(2)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faza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 </w:t>
            </w:r>
          </w:p>
          <w:p w14:paraId="4CC14A18" w14:textId="6ECE4164" w:rsidR="00377AB6" w:rsidRPr="00DC7FEB" w:rsidRDefault="007E067B" w:rsidP="00DC7FEB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fazën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verifikimi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t</w:t>
            </w:r>
            <w:proofErr w:type="spellEnd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paraprak</w:t>
            </w:r>
            <w:proofErr w:type="spellEnd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cila</w:t>
            </w:r>
            <w:proofErr w:type="spellEnd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77AB6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behet</w:t>
            </w:r>
            <w:proofErr w:type="spellEnd"/>
            <w:r w:rsidR="00377AB6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nga</w:t>
            </w:r>
            <w:proofErr w:type="spellEnd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ana</w:t>
            </w:r>
            <w:proofErr w:type="spellEnd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NjMBNj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dhe</w:t>
            </w:r>
            <w:proofErr w:type="spellEnd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</w:p>
          <w:p w14:paraId="13ABD9CC" w14:textId="40C11423" w:rsidR="00495BC7" w:rsidRPr="00DC7FEB" w:rsidRDefault="007E067B" w:rsidP="00DC7FEB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fazën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e</w:t>
            </w:r>
            <w:r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vlerësimi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t</w:t>
            </w:r>
            <w:proofErr w:type="spellEnd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profesional</w:t>
            </w:r>
            <w:proofErr w:type="spellEnd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i</w:t>
            </w:r>
            <w:proofErr w:type="spellEnd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  <w:proofErr w:type="spellStart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cili</w:t>
            </w:r>
            <w:proofErr w:type="spellEnd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behet</w:t>
            </w:r>
            <w:proofErr w:type="spellEnd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nga</w:t>
            </w:r>
            <w:proofErr w:type="spellEnd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komision</w:t>
            </w:r>
            <w:proofErr w:type="spellEnd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  <w:proofErr w:type="spellStart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Komisioni</w:t>
            </w:r>
            <w:proofErr w:type="spellEnd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përkatës</w:t>
            </w:r>
            <w:proofErr w:type="spellEnd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për</w:t>
            </w:r>
            <w:proofErr w:type="spellEnd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  <w:proofErr w:type="spellStart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vlerësimin</w:t>
            </w:r>
            <w:proofErr w:type="spellEnd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njohurive</w:t>
            </w:r>
            <w:proofErr w:type="spellEnd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sq-AL"/>
              </w:rPr>
              <w:t>aftësive dhe cilësive profesionale</w:t>
            </w:r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te</w:t>
            </w:r>
            <w:proofErr w:type="spellEnd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̈ </w:t>
            </w:r>
            <w:proofErr w:type="spellStart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kandidatëve</w:t>
            </w:r>
            <w:proofErr w:type="spellEnd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përmes</w:t>
            </w:r>
            <w:proofErr w:type="spellEnd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testit</w:t>
            </w:r>
            <w:proofErr w:type="spellEnd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me </w:t>
            </w:r>
            <w:proofErr w:type="spellStart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shkrim</w:t>
            </w:r>
            <w:proofErr w:type="spellEnd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dhe</w:t>
            </w:r>
            <w:proofErr w:type="spellEnd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intervistës</w:t>
            </w:r>
            <w:proofErr w:type="spellEnd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me </w:t>
            </w:r>
            <w:proofErr w:type="spellStart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gojë</w:t>
            </w:r>
            <w:proofErr w:type="spellEnd"/>
            <w:r w:rsidR="00495BC7" w:rsidRPr="00DC7F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  <w:p w14:paraId="42CF16FD" w14:textId="77777777" w:rsidR="00495BC7" w:rsidRPr="00DC7FEB" w:rsidRDefault="00495BC7" w:rsidP="00DC7FEB">
            <w:pPr>
              <w:tabs>
                <w:tab w:val="left" w:pos="270"/>
              </w:tabs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14760C61" w14:textId="63688A52" w:rsidR="00397D16" w:rsidRDefault="00397D16" w:rsidP="00DC7FEB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</w:t>
            </w:r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regullorja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përcakton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një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minimum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dhe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një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maksimum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sa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përket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pikëve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vlerësimit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testit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me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shkrim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dhe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intervistës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me</w:t>
            </w:r>
            <w:proofErr w:type="gram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gojë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dispozitat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saj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ajo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cakton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që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kandidatët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duhet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marrin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paktën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një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numër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prej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7E06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50 </w:t>
            </w:r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pikë</w:t>
            </w:r>
            <w:r w:rsidR="007E06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ve</w:t>
            </w:r>
            <w:proofErr w:type="spellEnd"/>
            <w:proofErr w:type="gram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fazën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testimit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me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shkrim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  Po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ashtu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përcakton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edhe</w:t>
            </w:r>
            <w:proofErr w:type="spellEnd"/>
            <w:proofErr w:type="gram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piket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maksimale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prej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100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pikesh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që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mund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marrë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një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kandidat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nga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tesitmi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me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shkrim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dhe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intervista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me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goje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Kjo</w:t>
            </w:r>
            <w:proofErr w:type="spellEnd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5BC7"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sigu</w:t>
            </w:r>
            <w:r w:rsidR="00D83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ron</w:t>
            </w:r>
            <w:proofErr w:type="spellEnd"/>
            <w:r w:rsidR="00D83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83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që</w:t>
            </w:r>
            <w:proofErr w:type="spellEnd"/>
            <w:r w:rsidR="00D83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83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procesi</w:t>
            </w:r>
            <w:proofErr w:type="spellEnd"/>
            <w:r w:rsidR="00D83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83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="00D83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83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jetë</w:t>
            </w:r>
            <w:proofErr w:type="spellEnd"/>
            <w:r w:rsidR="00D83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83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</w:t>
            </w:r>
            <w:proofErr w:type="spellEnd"/>
            <w:r w:rsidR="00D83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83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drejtë</w:t>
            </w:r>
            <w:proofErr w:type="spellEnd"/>
            <w:r w:rsidR="00D83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14:paraId="1DB1C460" w14:textId="24A99D90" w:rsidR="00495BC7" w:rsidRPr="00BF15D3" w:rsidRDefault="00495BC7" w:rsidP="00DC7FEB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47C74FE5" w14:textId="0D1B361F" w:rsidR="00495BC7" w:rsidRPr="00BF15D3" w:rsidRDefault="00495BC7" w:rsidP="00DC7FEB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Projekt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83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</w:t>
            </w:r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regullorja</w:t>
            </w:r>
            <w:proofErr w:type="spellEnd"/>
            <w:r w:rsidR="00397D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97D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poashtu</w:t>
            </w:r>
            <w:proofErr w:type="spellEnd"/>
            <w:proofErr w:type="gramStart"/>
            <w:r w:rsidR="00D83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="00397D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përcakton</w:t>
            </w:r>
            <w:proofErr w:type="spellEnd"/>
            <w:proofErr w:type="gram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hartimin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planit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vjetor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personelit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cili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perfshinë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analizën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nevojave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personel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dhe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hartohet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gjitha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kategoritë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punësuarave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në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administratën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sistemit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gjyqësor</w:t>
            </w:r>
            <w:proofErr w:type="spellEnd"/>
            <w:r w:rsidR="00D83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me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qëllim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që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Këshillit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dhe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sistemi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gjyqësor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në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përgjithësi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83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="00D83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83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kenë</w:t>
            </w:r>
            <w:proofErr w:type="spellEnd"/>
            <w:r w:rsidR="00D83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një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staf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mjaftueshëm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dhe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kualifikuar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përmbushur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detyrat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tyre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ligjore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14:paraId="4450E6CC" w14:textId="77777777" w:rsidR="00495BC7" w:rsidRPr="00BF15D3" w:rsidRDefault="00495BC7" w:rsidP="00DC7FEB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6EB2FB72" w14:textId="59656157" w:rsidR="00495BC7" w:rsidRPr="00BF15D3" w:rsidRDefault="00495BC7" w:rsidP="00DC7FEB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Rregullorja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gjithashtu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parashikon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procedurat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menaxhimin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konflikteve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inte</w:t>
            </w:r>
            <w:r w:rsidR="00D83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resit</w:t>
            </w:r>
            <w:proofErr w:type="spellEnd"/>
            <w:r w:rsidR="00D83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duke </w:t>
            </w:r>
            <w:proofErr w:type="spellStart"/>
            <w:r w:rsidR="00D83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synuar</w:t>
            </w:r>
            <w:proofErr w:type="spellEnd"/>
            <w:r w:rsidR="00D83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83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parandalimin</w:t>
            </w:r>
            <w:proofErr w:type="spellEnd"/>
            <w:r w:rsidR="00D83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83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etij</w:t>
            </w:r>
            <w:proofErr w:type="spellEnd"/>
            <w:r w:rsidR="00D83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në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gjitha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fazat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procesit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punësimit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Kjo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rregullore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siguron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një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proces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strukturuar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dhe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drejtë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selektimin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personelit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në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administratën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sistemit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gjyqësor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15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Kosovës</w:t>
            </w:r>
            <w:proofErr w:type="spellEnd"/>
          </w:p>
          <w:p w14:paraId="63652E5C" w14:textId="77777777" w:rsidR="00495BC7" w:rsidRPr="007B374E" w:rsidRDefault="00495BC7" w:rsidP="00DC7FEB">
            <w:pPr>
              <w:tabs>
                <w:tab w:val="left" w:pos="270"/>
              </w:tabs>
              <w:spacing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3BB079A1" w14:textId="77777777" w:rsidR="00495BC7" w:rsidRPr="004856B4" w:rsidRDefault="00495BC7" w:rsidP="00DC7FEB">
            <w:pPr>
              <w:spacing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92DB93" w14:textId="3FA63509" w:rsidR="00391899" w:rsidRPr="009B6B00" w:rsidRDefault="00391899" w:rsidP="00DC7FEB">
            <w:pPr>
              <w:spacing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77356" w14:paraId="535436C2" w14:textId="77777777" w:rsidTr="00ED0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14:paraId="2944ED4E" w14:textId="77777777" w:rsidR="001918E8" w:rsidRPr="001918E8" w:rsidRDefault="001918E8" w:rsidP="00564DE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1918E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lastRenderedPageBreak/>
              <w:t>2. Arsyetimi i aktit normative</w:t>
            </w:r>
          </w:p>
          <w:p w14:paraId="54508F8B" w14:textId="77777777" w:rsidR="001918E8" w:rsidRPr="001918E8" w:rsidRDefault="001918E8" w:rsidP="00564DE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14:paraId="319FA8E7" w14:textId="77777777" w:rsidR="001918E8" w:rsidRPr="001918E8" w:rsidRDefault="001918E8" w:rsidP="00564DE5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5129" w:type="dxa"/>
          </w:tcPr>
          <w:p w14:paraId="1B8D36E1" w14:textId="36DC92EE" w:rsidR="00FF15BB" w:rsidRDefault="00153918" w:rsidP="001E1B0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</w:t>
            </w:r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artimit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Projekt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Rregullores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Nr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X/2024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për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Procedurën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Rekrutimit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Pranimit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Emërimit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dhe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Punës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Provuese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për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të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Punësuarit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në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Administratën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Sistemit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Gjyqësor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909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është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paraparë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nevojshëm</w:t>
            </w:r>
            <w:proofErr w:type="spellEnd"/>
            <w:r w:rsidR="00A909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për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shkak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të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ndryshimeve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ligjore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AA63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perkatësisht</w:t>
            </w:r>
            <w:proofErr w:type="spellEnd"/>
            <w:r w:rsidR="00AA63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B3B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pas </w:t>
            </w:r>
            <w:proofErr w:type="spellStart"/>
            <w:r w:rsidR="00AA63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hyrje</w:t>
            </w:r>
            <w:r w:rsidR="003B3B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në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fuqi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të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Ligjit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për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Zyrtarët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Publik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FF15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sipas</w:t>
            </w:r>
            <w:proofErr w:type="spellEnd"/>
            <w:r w:rsidR="00FF15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F15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së</w:t>
            </w:r>
            <w:proofErr w:type="spellEnd"/>
            <w:r w:rsidR="00FF15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F15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cilit</w:t>
            </w:r>
            <w:proofErr w:type="spellEnd"/>
            <w:r w:rsidR="00FF15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kërko</w:t>
            </w:r>
            <w:r w:rsidR="00FF15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het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një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rregullim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F15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veçantë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për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procesin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punësimit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në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administratën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gjyqësore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14:paraId="0C940904" w14:textId="77777777" w:rsidR="00FF15BB" w:rsidRDefault="00FF15BB" w:rsidP="00E9630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5B774B" w14:textId="0E6E6DEC" w:rsidR="001E1B0C" w:rsidRPr="001E1B0C" w:rsidRDefault="00AA6310" w:rsidP="001E1B0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Ligji</w:t>
            </w:r>
            <w:proofErr w:type="spellEnd"/>
            <w:r w:rsidR="00D84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19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personelin</w:t>
            </w:r>
            <w:proofErr w:type="spellEnd"/>
            <w:r w:rsidR="0019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në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administratën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179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 </w:t>
            </w:r>
            <w:proofErr w:type="spellStart"/>
            <w:r w:rsidR="00E179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sis</w:t>
            </w:r>
            <w:r w:rsidR="00D84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temit</w:t>
            </w:r>
            <w:proofErr w:type="spellEnd"/>
            <w:r w:rsidR="00E179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179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gjyqësor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84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="00E179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179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kategorizon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në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nëpunës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civil me status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të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veçantë</w:t>
            </w:r>
            <w:proofErr w:type="spellEnd"/>
            <w:r w:rsidR="00E179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duke </w:t>
            </w:r>
            <w:proofErr w:type="spellStart"/>
            <w:r w:rsidR="00D84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dhenë</w:t>
            </w:r>
            <w:proofErr w:type="spellEnd"/>
            <w:r w:rsidR="00E179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179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autoriz</w:t>
            </w:r>
            <w:r w:rsidR="00D84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ime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që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179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proces</w:t>
            </w:r>
            <w:r w:rsidR="00D84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 w:rsidR="00E179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84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 w:rsidR="00E179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179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pranimit</w:t>
            </w:r>
            <w:proofErr w:type="spellEnd"/>
            <w:r w:rsidR="00E179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179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dhe</w:t>
            </w:r>
            <w:proofErr w:type="spellEnd"/>
            <w:r w:rsidR="00E179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179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emërimit</w:t>
            </w:r>
            <w:proofErr w:type="spellEnd"/>
            <w:r w:rsidR="00E179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84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84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të</w:t>
            </w:r>
            <w:proofErr w:type="spellEnd"/>
            <w:proofErr w:type="gramEnd"/>
            <w:r w:rsidR="00D84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84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rregullohet</w:t>
            </w:r>
            <w:proofErr w:type="spellEnd"/>
            <w:r w:rsidR="00D84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="00D84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nga</w:t>
            </w:r>
            <w:proofErr w:type="spellEnd"/>
            <w:r w:rsidR="00D84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84F84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Këshillin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="0019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në</w:t>
            </w:r>
            <w:proofErr w:type="spellEnd"/>
            <w:r w:rsidR="0019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9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perputhje</w:t>
            </w:r>
            <w:proofErr w:type="spellEnd"/>
            <w:r w:rsidR="0019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 </w:t>
            </w:r>
            <w:proofErr w:type="spellStart"/>
            <w:r w:rsidR="0019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ligjin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dhe</w:t>
            </w:r>
            <w:proofErr w:type="spellEnd"/>
            <w:r w:rsidR="00E179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179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akt</w:t>
            </w:r>
            <w:r w:rsidR="0019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</w:t>
            </w:r>
            <w:proofErr w:type="spellEnd"/>
            <w:r w:rsidR="0019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</w:t>
            </w:r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veçantë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të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miratuar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84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prej</w:t>
            </w:r>
            <w:proofErr w:type="spellEnd"/>
            <w:r w:rsidR="00D84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84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tij</w:t>
            </w:r>
            <w:proofErr w:type="spellEnd"/>
            <w:r w:rsidR="001E1B0C"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14D9F54" w14:textId="77777777" w:rsidR="006E0785" w:rsidRDefault="006E0785" w:rsidP="006E078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FC6A4A" w14:textId="061748D3" w:rsidR="001E1B0C" w:rsidRDefault="00E9630F" w:rsidP="001E1B0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Andaj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ërmes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hartimit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të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kësaj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projekt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rregullore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synohet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të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rregullohen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në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mënyrë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të</w:t>
            </w:r>
            <w:proofErr w:type="spellEnd"/>
            <w:proofErr w:type="gram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detajuar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dhe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gjithëpërfshirëse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kriteret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dhe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rregullat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për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përcaktimin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procedurave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për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punësimin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personelit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në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administratën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gjyqësore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pasi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që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deri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me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hyrjen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ne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fuqi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të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këtij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ligji</w:t>
            </w:r>
            <w:proofErr w:type="spellEnd"/>
            <w:r w:rsidR="006E0785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6E0785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kjo</w:t>
            </w:r>
            <w:proofErr w:type="spellEnd"/>
            <w:r w:rsidR="006E0785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procedure </w:t>
            </w:r>
            <w:proofErr w:type="spellStart"/>
            <w:r w:rsidR="006E0785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është</w:t>
            </w:r>
            <w:proofErr w:type="spellEnd"/>
            <w:r w:rsidR="006E0785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rregulluar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ne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përputhje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rregullativen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ligjore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të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shërbimit</w:t>
            </w:r>
            <w:proofErr w:type="spellEnd"/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E0785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ivil</w:t>
            </w:r>
            <w:r w:rsidR="006321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1E1B0C" w:rsidRPr="006E07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14:paraId="46516E97" w14:textId="77777777" w:rsidR="006321C5" w:rsidRPr="006E0785" w:rsidRDefault="006321C5" w:rsidP="006321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865E0B" w14:textId="71AC2DAE" w:rsidR="001E1B0C" w:rsidRPr="001E1B0C" w:rsidRDefault="001E1B0C" w:rsidP="001E1B0C">
            <w:pPr>
              <w:tabs>
                <w:tab w:val="left" w:pos="900"/>
                <w:tab w:val="left" w:pos="1260"/>
                <w:tab w:val="left" w:pos="1530"/>
              </w:tabs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Hartim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kësaj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rregullore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eshtë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rëndësishme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për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arsyet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="006321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vijim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14:paraId="08D29894" w14:textId="77777777" w:rsidR="001E1B0C" w:rsidRPr="001E1B0C" w:rsidRDefault="001E1B0C" w:rsidP="001E1B0C">
            <w:pPr>
              <w:tabs>
                <w:tab w:val="left" w:pos="900"/>
                <w:tab w:val="left" w:pos="1260"/>
                <w:tab w:val="left" w:pos="1530"/>
              </w:tabs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Së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pari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hartimi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projekt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rregullores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për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qëllim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themelimin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një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sistemi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të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strukturuar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dhe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transparent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të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rekrutimit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duke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siguruar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që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sistemi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administratës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gjyqësore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të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funksionojë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në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mënyrë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efikase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duke </w:t>
            </w:r>
            <w:proofErr w:type="spellStart"/>
            <w:proofErr w:type="gram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përmbushur</w:t>
            </w:r>
            <w:proofErr w:type="spellEnd"/>
            <w:proofErr w:type="gram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standardet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integritetit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dhe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pavarësisë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5387E5B" w14:textId="356409A0" w:rsidR="00265F1C" w:rsidRPr="001E1B0C" w:rsidRDefault="001E1B0C" w:rsidP="00813DB5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Së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dyti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nxjerrja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këtij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akti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përbën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akt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unifikues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për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sistemin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administratës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gjyqësore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për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rregullimin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procedurës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D6F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së</w:t>
            </w:r>
            <w:proofErr w:type="spellEnd"/>
            <w:r w:rsidR="007D6F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D6F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pranimit</w:t>
            </w:r>
            <w:proofErr w:type="spellEnd"/>
            <w:r w:rsidR="007D6F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D6F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dhe</w:t>
            </w:r>
            <w:proofErr w:type="spellEnd"/>
            <w:r w:rsidR="007D6F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D6F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emërimit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321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duke </w:t>
            </w:r>
            <w:proofErr w:type="spellStart"/>
            <w:r w:rsidR="006321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filluar</w:t>
            </w:r>
            <w:proofErr w:type="spellEnd"/>
            <w:r w:rsidR="006321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321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nga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aplikimi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gjerë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tek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puna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provuese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sipas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një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rregullore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të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vetme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procedurë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kjo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cila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nuk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qenë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rregulluar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më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parë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një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akt</w:t>
            </w:r>
            <w:proofErr w:type="spellEnd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veçantë</w:t>
            </w:r>
            <w:proofErr w:type="spellEnd"/>
            <w:r w:rsidR="00813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7621C4" w14:paraId="1FAA5BC6" w14:textId="77777777" w:rsidTr="00ED0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14:paraId="60C5982D" w14:textId="77777777" w:rsidR="001918E8" w:rsidRPr="001918E8" w:rsidRDefault="001918E8" w:rsidP="00564DE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1918E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lastRenderedPageBreak/>
              <w:t xml:space="preserve">3. Kohëzgjatja e konsultimit publik </w:t>
            </w:r>
          </w:p>
          <w:p w14:paraId="176BDF2D" w14:textId="77777777" w:rsidR="001918E8" w:rsidRPr="001918E8" w:rsidRDefault="001918E8" w:rsidP="00564DE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14:paraId="205D793F" w14:textId="77777777" w:rsidR="001918E8" w:rsidRPr="001918E8" w:rsidRDefault="001918E8" w:rsidP="00564DE5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5129" w:type="dxa"/>
          </w:tcPr>
          <w:p w14:paraId="30419CA8" w14:textId="677B613A" w:rsidR="007911D2" w:rsidRDefault="00D05B9B" w:rsidP="0030181F">
            <w:pPr>
              <w:spacing w:before="240"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</w:pPr>
            <w:r w:rsidRPr="000F6AAD">
              <w:rPr>
                <w:rFonts w:ascii="Times New Roman" w:hAnsi="Times New Roman"/>
                <w:color w:val="auto"/>
                <w:sz w:val="24"/>
                <w:szCs w:val="24"/>
                <w:lang w:val="sq-AL"/>
              </w:rPr>
              <w:t>Përmes procesit të konsultimeve me publikun, synohet transparenca dhe ofrohet mundësia e pjesëmarrjes së publikut dhe palëve të inter</w:t>
            </w:r>
            <w:r w:rsidR="00265F1C">
              <w:rPr>
                <w:rFonts w:ascii="Times New Roman" w:hAnsi="Times New Roman"/>
                <w:color w:val="auto"/>
                <w:sz w:val="24"/>
                <w:szCs w:val="24"/>
                <w:lang w:val="sq-AL"/>
              </w:rPr>
              <w:t xml:space="preserve">esuara në procesin e hartimit të </w:t>
            </w:r>
            <w:r w:rsidR="00265F1C" w:rsidRPr="00265F1C">
              <w:rPr>
                <w:rFonts w:ascii="Times New Roman" w:hAnsi="Times New Roman"/>
                <w:color w:val="auto"/>
                <w:sz w:val="24"/>
                <w:szCs w:val="24"/>
                <w:lang w:val="sq-AL"/>
              </w:rPr>
              <w:t>rregullore</w:t>
            </w:r>
            <w:r w:rsidR="00265F1C">
              <w:rPr>
                <w:rFonts w:ascii="Times New Roman" w:hAnsi="Times New Roman"/>
                <w:color w:val="auto"/>
                <w:sz w:val="24"/>
                <w:szCs w:val="24"/>
                <w:lang w:val="sq-AL"/>
              </w:rPr>
              <w:t>s</w:t>
            </w:r>
            <w:r w:rsidR="00265F1C" w:rsidRPr="00265F1C">
              <w:rPr>
                <w:rFonts w:ascii="Times New Roman" w:hAnsi="Times New Roman"/>
                <w:color w:val="auto"/>
                <w:sz w:val="24"/>
                <w:szCs w:val="24"/>
                <w:lang w:val="sq-AL"/>
              </w:rPr>
              <w:t xml:space="preserve"> për procedurën e rekrutimit, pranimit, emërimit dhe punës provuese për për të punësuarit në administratën e sistemit gjyqësor</w:t>
            </w:r>
            <w:r w:rsidR="00265F1C" w:rsidRPr="000F6AAD">
              <w:rPr>
                <w:rFonts w:ascii="Times New Roman" w:hAnsi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14:paraId="711C7517" w14:textId="77777777" w:rsidR="00D05B9B" w:rsidRPr="000F6AAD" w:rsidRDefault="000F6AAD" w:rsidP="0030181F">
            <w:pPr>
              <w:spacing w:before="240"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4"/>
                <w:szCs w:val="24"/>
                <w:lang w:val="sq-AL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sq-AL"/>
              </w:rPr>
              <w:t xml:space="preserve">Këshilli </w:t>
            </w:r>
            <w:r w:rsidR="00D05B9B" w:rsidRPr="000F6AAD">
              <w:rPr>
                <w:rFonts w:ascii="Times New Roman" w:eastAsia="Calibri" w:hAnsi="Times New Roman"/>
                <w:color w:val="auto"/>
                <w:sz w:val="24"/>
                <w:szCs w:val="24"/>
                <w:lang w:val="sq-AL"/>
              </w:rPr>
              <w:t xml:space="preserve">fton të gjithë profesionistët e interesuar që të paraqesin komentet apo sugjerimet e tyre, për përmirësimin e draftit të kësaj rregullore. </w:t>
            </w:r>
          </w:p>
          <w:p w14:paraId="799336CD" w14:textId="13FFD262" w:rsidR="001918E8" w:rsidRPr="000173C7" w:rsidRDefault="00D05B9B" w:rsidP="006321C5">
            <w:pPr>
              <w:spacing w:before="240"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sq-AL"/>
              </w:rPr>
            </w:pPr>
            <w:r w:rsidRPr="009D1791"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lastRenderedPageBreak/>
              <w:t>Kohëzgjatja e konsultimit publik është pesëmbëdhjetë (15) ditë kalendarike, përkatësish</w:t>
            </w:r>
            <w:r w:rsidRPr="004F1C73"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t xml:space="preserve">t </w:t>
            </w:r>
            <w:r w:rsidRPr="009D1791"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t>deri me</w:t>
            </w:r>
            <w:r w:rsidR="00B21B84"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  <w:r w:rsidR="006321C5"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t xml:space="preserve">19 </w:t>
            </w:r>
            <w:r w:rsidR="00655CC1"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t>mars</w:t>
            </w:r>
            <w:r w:rsidR="00A132F9"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t xml:space="preserve"> 2024.</w:t>
            </w:r>
          </w:p>
        </w:tc>
      </w:tr>
      <w:tr w:rsidR="00777356" w14:paraId="07AC5C8E" w14:textId="77777777" w:rsidTr="00ED0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14:paraId="658F73CC" w14:textId="77777777" w:rsidR="001918E8" w:rsidRPr="001918E8" w:rsidRDefault="001918E8" w:rsidP="00564DE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1918E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lastRenderedPageBreak/>
              <w:t>4. Informatat në lidhje me personin kontaktues për konsultim publik</w:t>
            </w:r>
          </w:p>
          <w:p w14:paraId="4B5A5424" w14:textId="77777777" w:rsidR="001918E8" w:rsidRPr="001918E8" w:rsidRDefault="001918E8" w:rsidP="00564DE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14:paraId="635ACCA8" w14:textId="77777777" w:rsidR="001918E8" w:rsidRPr="001918E8" w:rsidRDefault="001918E8" w:rsidP="00564DE5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5129" w:type="dxa"/>
          </w:tcPr>
          <w:p w14:paraId="5E15DC2C" w14:textId="4E0251A1" w:rsidR="001918E8" w:rsidRPr="009239DC" w:rsidRDefault="00D05B9B" w:rsidP="00265F1C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FE3B28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Të gjithë pjesëmarrësit e publikut dhe palët e interesuara  mund t’i japin komentet dhe sugjerimet e tyre brenda afatit të përca</w:t>
            </w:r>
            <w:r w:rsidR="00265F1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ktuar për konsultim publik për </w:t>
            </w:r>
            <w:r w:rsidRPr="00FE3B28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këtë draft </w:t>
            </w:r>
            <w:r w:rsidR="00C44EC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të </w:t>
            </w:r>
            <w:r w:rsidR="00265F1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rregullores </w:t>
            </w:r>
            <w:r w:rsidRPr="00FE3B28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përmes postës elektronike në këtë e-mail adresë:</w:t>
            </w:r>
            <w:r w:rsidRPr="00FE3B28">
              <w:rPr>
                <w:lang w:val="sq-AL"/>
              </w:rPr>
              <w:t xml:space="preserve"> </w:t>
            </w:r>
            <w:hyperlink r:id="rId6" w:history="1">
              <w:r w:rsidRPr="00FE3B28">
                <w:rPr>
                  <w:rStyle w:val="Hyperlink"/>
                  <w:rFonts w:ascii="Times New Roman" w:hAnsi="Times New Roman"/>
                  <w:sz w:val="28"/>
                  <w:szCs w:val="28"/>
                  <w:lang w:val="sq-AL"/>
                </w:rPr>
                <w:t>kgjk@rks-gov.net</w:t>
              </w:r>
            </w:hyperlink>
          </w:p>
        </w:tc>
      </w:tr>
    </w:tbl>
    <w:p w14:paraId="7A675B85" w14:textId="78E5047B" w:rsidR="001918E8" w:rsidRDefault="001918E8" w:rsidP="00AA3448">
      <w:pPr>
        <w:rPr>
          <w:b/>
          <w:bCs/>
          <w:sz w:val="32"/>
          <w:szCs w:val="32"/>
        </w:rPr>
      </w:pPr>
    </w:p>
    <w:p w14:paraId="21A2AC2A" w14:textId="132FE073" w:rsidR="00BF0275" w:rsidRPr="000E22FE" w:rsidRDefault="00BF0275" w:rsidP="00AA3448">
      <w:pPr>
        <w:rPr>
          <w:b/>
          <w:bCs/>
          <w:sz w:val="32"/>
          <w:szCs w:val="32"/>
        </w:rPr>
      </w:pPr>
    </w:p>
    <w:sectPr w:rsidR="00BF0275" w:rsidRPr="000E22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27DC7"/>
    <w:multiLevelType w:val="hybridMultilevel"/>
    <w:tmpl w:val="50ECDAB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E8"/>
    <w:rsid w:val="000173C7"/>
    <w:rsid w:val="00032B0A"/>
    <w:rsid w:val="00043465"/>
    <w:rsid w:val="0004655B"/>
    <w:rsid w:val="00051622"/>
    <w:rsid w:val="000A6EEB"/>
    <w:rsid w:val="000C4EA6"/>
    <w:rsid w:val="000D7CB2"/>
    <w:rsid w:val="000F6AAD"/>
    <w:rsid w:val="001163E4"/>
    <w:rsid w:val="001301E4"/>
    <w:rsid w:val="00151159"/>
    <w:rsid w:val="001511D3"/>
    <w:rsid w:val="00153918"/>
    <w:rsid w:val="00183A61"/>
    <w:rsid w:val="00187CC7"/>
    <w:rsid w:val="00190417"/>
    <w:rsid w:val="001918E8"/>
    <w:rsid w:val="001B2A9D"/>
    <w:rsid w:val="001C0119"/>
    <w:rsid w:val="001D6170"/>
    <w:rsid w:val="001E1834"/>
    <w:rsid w:val="001E1B0C"/>
    <w:rsid w:val="001E3444"/>
    <w:rsid w:val="001E7A5A"/>
    <w:rsid w:val="001F103A"/>
    <w:rsid w:val="002018E9"/>
    <w:rsid w:val="0020692F"/>
    <w:rsid w:val="00243788"/>
    <w:rsid w:val="00254FAD"/>
    <w:rsid w:val="0026438C"/>
    <w:rsid w:val="00265F1C"/>
    <w:rsid w:val="00286D95"/>
    <w:rsid w:val="0029389F"/>
    <w:rsid w:val="00293A93"/>
    <w:rsid w:val="002A3F42"/>
    <w:rsid w:val="002C7E23"/>
    <w:rsid w:val="002D246F"/>
    <w:rsid w:val="0030181F"/>
    <w:rsid w:val="0030217D"/>
    <w:rsid w:val="003133F3"/>
    <w:rsid w:val="00327F97"/>
    <w:rsid w:val="00332B2B"/>
    <w:rsid w:val="003430A1"/>
    <w:rsid w:val="00345B15"/>
    <w:rsid w:val="00355628"/>
    <w:rsid w:val="00356EA7"/>
    <w:rsid w:val="00362715"/>
    <w:rsid w:val="00377AB6"/>
    <w:rsid w:val="00386D3F"/>
    <w:rsid w:val="00391899"/>
    <w:rsid w:val="00397D16"/>
    <w:rsid w:val="003A2372"/>
    <w:rsid w:val="003B1FBF"/>
    <w:rsid w:val="003B3B01"/>
    <w:rsid w:val="003B3D44"/>
    <w:rsid w:val="003D0312"/>
    <w:rsid w:val="003E6B9B"/>
    <w:rsid w:val="003F3A45"/>
    <w:rsid w:val="00410A18"/>
    <w:rsid w:val="00430AE2"/>
    <w:rsid w:val="00437BAB"/>
    <w:rsid w:val="00440C19"/>
    <w:rsid w:val="00460EF5"/>
    <w:rsid w:val="004616C7"/>
    <w:rsid w:val="004724F9"/>
    <w:rsid w:val="004753DB"/>
    <w:rsid w:val="004925DB"/>
    <w:rsid w:val="00495BC7"/>
    <w:rsid w:val="004B224D"/>
    <w:rsid w:val="004C08F7"/>
    <w:rsid w:val="004C0A85"/>
    <w:rsid w:val="004C6A44"/>
    <w:rsid w:val="004D10A5"/>
    <w:rsid w:val="004F1C73"/>
    <w:rsid w:val="00533B9B"/>
    <w:rsid w:val="00537BA1"/>
    <w:rsid w:val="0055202A"/>
    <w:rsid w:val="00562B44"/>
    <w:rsid w:val="005639DF"/>
    <w:rsid w:val="00564DE5"/>
    <w:rsid w:val="00576E54"/>
    <w:rsid w:val="00582CA9"/>
    <w:rsid w:val="005848B3"/>
    <w:rsid w:val="00594D20"/>
    <w:rsid w:val="005956DF"/>
    <w:rsid w:val="00606B5F"/>
    <w:rsid w:val="00631E68"/>
    <w:rsid w:val="006321C5"/>
    <w:rsid w:val="00647423"/>
    <w:rsid w:val="00655CC1"/>
    <w:rsid w:val="00686A24"/>
    <w:rsid w:val="00694BA8"/>
    <w:rsid w:val="006B52C6"/>
    <w:rsid w:val="006C5E48"/>
    <w:rsid w:val="006D65FA"/>
    <w:rsid w:val="006E0785"/>
    <w:rsid w:val="006E1799"/>
    <w:rsid w:val="006E1908"/>
    <w:rsid w:val="006E51EC"/>
    <w:rsid w:val="006F0687"/>
    <w:rsid w:val="006F3769"/>
    <w:rsid w:val="006F4342"/>
    <w:rsid w:val="00713B3D"/>
    <w:rsid w:val="00722288"/>
    <w:rsid w:val="0076153E"/>
    <w:rsid w:val="007621C4"/>
    <w:rsid w:val="00776E5A"/>
    <w:rsid w:val="00777356"/>
    <w:rsid w:val="007911D2"/>
    <w:rsid w:val="007A7AA2"/>
    <w:rsid w:val="007D3FB7"/>
    <w:rsid w:val="007D6F6C"/>
    <w:rsid w:val="007E067B"/>
    <w:rsid w:val="00802B22"/>
    <w:rsid w:val="00810328"/>
    <w:rsid w:val="00813DB5"/>
    <w:rsid w:val="00842696"/>
    <w:rsid w:val="00843B37"/>
    <w:rsid w:val="00864557"/>
    <w:rsid w:val="008738D1"/>
    <w:rsid w:val="00876378"/>
    <w:rsid w:val="00876A11"/>
    <w:rsid w:val="00885D58"/>
    <w:rsid w:val="00896002"/>
    <w:rsid w:val="008A3F78"/>
    <w:rsid w:val="008A7AD2"/>
    <w:rsid w:val="008B27A8"/>
    <w:rsid w:val="008B3B86"/>
    <w:rsid w:val="008B6412"/>
    <w:rsid w:val="008C5F7D"/>
    <w:rsid w:val="008D38D2"/>
    <w:rsid w:val="008D52D6"/>
    <w:rsid w:val="008E1D0A"/>
    <w:rsid w:val="009056A4"/>
    <w:rsid w:val="00914DAD"/>
    <w:rsid w:val="00914F1E"/>
    <w:rsid w:val="009221F6"/>
    <w:rsid w:val="009239DC"/>
    <w:rsid w:val="00926C70"/>
    <w:rsid w:val="00942CF5"/>
    <w:rsid w:val="0096419D"/>
    <w:rsid w:val="009A383C"/>
    <w:rsid w:val="009B6B00"/>
    <w:rsid w:val="009C06D6"/>
    <w:rsid w:val="009C29E1"/>
    <w:rsid w:val="009D1791"/>
    <w:rsid w:val="009D5C1F"/>
    <w:rsid w:val="009F0D5D"/>
    <w:rsid w:val="009F544D"/>
    <w:rsid w:val="00A02020"/>
    <w:rsid w:val="00A027AE"/>
    <w:rsid w:val="00A027CD"/>
    <w:rsid w:val="00A132F9"/>
    <w:rsid w:val="00A1590E"/>
    <w:rsid w:val="00A2034B"/>
    <w:rsid w:val="00A30FBA"/>
    <w:rsid w:val="00A335DC"/>
    <w:rsid w:val="00A4012B"/>
    <w:rsid w:val="00A43153"/>
    <w:rsid w:val="00A55280"/>
    <w:rsid w:val="00A62E5C"/>
    <w:rsid w:val="00A815A1"/>
    <w:rsid w:val="00A863C1"/>
    <w:rsid w:val="00A9098E"/>
    <w:rsid w:val="00AA3448"/>
    <w:rsid w:val="00AA6310"/>
    <w:rsid w:val="00AC34C0"/>
    <w:rsid w:val="00AD6401"/>
    <w:rsid w:val="00B14B91"/>
    <w:rsid w:val="00B21B84"/>
    <w:rsid w:val="00B30056"/>
    <w:rsid w:val="00B35028"/>
    <w:rsid w:val="00B57F6D"/>
    <w:rsid w:val="00B70874"/>
    <w:rsid w:val="00B93749"/>
    <w:rsid w:val="00B94DB1"/>
    <w:rsid w:val="00BA07C0"/>
    <w:rsid w:val="00BA2B53"/>
    <w:rsid w:val="00BB242F"/>
    <w:rsid w:val="00BB636E"/>
    <w:rsid w:val="00BC042C"/>
    <w:rsid w:val="00BC23C9"/>
    <w:rsid w:val="00BC2DFF"/>
    <w:rsid w:val="00BC765F"/>
    <w:rsid w:val="00BE073B"/>
    <w:rsid w:val="00BF0275"/>
    <w:rsid w:val="00BF15D3"/>
    <w:rsid w:val="00BF465D"/>
    <w:rsid w:val="00C10CA8"/>
    <w:rsid w:val="00C117B0"/>
    <w:rsid w:val="00C14769"/>
    <w:rsid w:val="00C320E7"/>
    <w:rsid w:val="00C44ECC"/>
    <w:rsid w:val="00C5470D"/>
    <w:rsid w:val="00C630CC"/>
    <w:rsid w:val="00C702D9"/>
    <w:rsid w:val="00C72359"/>
    <w:rsid w:val="00C72D02"/>
    <w:rsid w:val="00C77C9D"/>
    <w:rsid w:val="00C91E9A"/>
    <w:rsid w:val="00C974B0"/>
    <w:rsid w:val="00CA1BEB"/>
    <w:rsid w:val="00CB1044"/>
    <w:rsid w:val="00CC2ED6"/>
    <w:rsid w:val="00CC6A47"/>
    <w:rsid w:val="00CD23BD"/>
    <w:rsid w:val="00CD4CB8"/>
    <w:rsid w:val="00CE78BD"/>
    <w:rsid w:val="00CE7C6E"/>
    <w:rsid w:val="00CF05EA"/>
    <w:rsid w:val="00D05B9B"/>
    <w:rsid w:val="00D23E6E"/>
    <w:rsid w:val="00D37905"/>
    <w:rsid w:val="00D447D8"/>
    <w:rsid w:val="00D471E6"/>
    <w:rsid w:val="00D52055"/>
    <w:rsid w:val="00D52183"/>
    <w:rsid w:val="00D6120F"/>
    <w:rsid w:val="00D639D0"/>
    <w:rsid w:val="00D83A89"/>
    <w:rsid w:val="00D84F84"/>
    <w:rsid w:val="00D906AA"/>
    <w:rsid w:val="00DC7FEB"/>
    <w:rsid w:val="00DD6171"/>
    <w:rsid w:val="00DF172A"/>
    <w:rsid w:val="00E179B9"/>
    <w:rsid w:val="00E44D4A"/>
    <w:rsid w:val="00E6773C"/>
    <w:rsid w:val="00E7582A"/>
    <w:rsid w:val="00E80005"/>
    <w:rsid w:val="00E80E74"/>
    <w:rsid w:val="00E822F7"/>
    <w:rsid w:val="00E91EE8"/>
    <w:rsid w:val="00E93F98"/>
    <w:rsid w:val="00E9630F"/>
    <w:rsid w:val="00E96A38"/>
    <w:rsid w:val="00ED0352"/>
    <w:rsid w:val="00ED32C4"/>
    <w:rsid w:val="00EE1409"/>
    <w:rsid w:val="00EF2EA2"/>
    <w:rsid w:val="00EF5798"/>
    <w:rsid w:val="00F023FA"/>
    <w:rsid w:val="00F06375"/>
    <w:rsid w:val="00F31E67"/>
    <w:rsid w:val="00F768CC"/>
    <w:rsid w:val="00F87BFC"/>
    <w:rsid w:val="00FA18CD"/>
    <w:rsid w:val="00FA3974"/>
    <w:rsid w:val="00FB07E0"/>
    <w:rsid w:val="00FC56DA"/>
    <w:rsid w:val="00FC75FD"/>
    <w:rsid w:val="00FE3B28"/>
    <w:rsid w:val="00FF15BB"/>
    <w:rsid w:val="00FF1EA2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DF3A"/>
  <w15:chartTrackingRefBased/>
  <w15:docId w15:val="{77C3ABB9-EF99-4728-A057-13756C28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6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5">
    <w:name w:val="Grid Table 6 Colorful Accent 5"/>
    <w:basedOn w:val="TableNormal"/>
    <w:uiPriority w:val="51"/>
    <w:rsid w:val="001918E8"/>
    <w:pPr>
      <w:spacing w:line="240" w:lineRule="auto"/>
      <w:jc w:val="left"/>
    </w:pPr>
    <w:rPr>
      <w:color w:val="2F5496" w:themeColor="accent5" w:themeShade="BF"/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ptext-">
    <w:name w:val="ptext-"/>
    <w:rsid w:val="00D05B9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05B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F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F5798"/>
    <w:pPr>
      <w:spacing w:line="240" w:lineRule="auto"/>
      <w:jc w:val="left"/>
    </w:pPr>
  </w:style>
  <w:style w:type="character" w:customStyle="1" w:styleId="cf01">
    <w:name w:val="cf01"/>
    <w:rsid w:val="000D7CB2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4C08F7"/>
    <w:pPr>
      <w:spacing w:after="0" w:line="240" w:lineRule="auto"/>
      <w:ind w:left="720"/>
      <w:contextualSpacing/>
    </w:pPr>
    <w:rPr>
      <w:rFonts w:asciiTheme="majorHAnsi" w:eastAsia="MS Mincho" w:hAnsiTheme="majorHAns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06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3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jk@rks-gov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Ajshe Zejnullahu</dc:creator>
  <cp:keywords/>
  <dc:description/>
  <cp:lastModifiedBy>Ajshe Zejnullahu</cp:lastModifiedBy>
  <cp:revision>12</cp:revision>
  <cp:lastPrinted>2024-03-04T14:56:00Z</cp:lastPrinted>
  <dcterms:created xsi:type="dcterms:W3CDTF">2024-03-04T13:55:00Z</dcterms:created>
  <dcterms:modified xsi:type="dcterms:W3CDTF">2024-03-04T16:21:00Z</dcterms:modified>
</cp:coreProperties>
</file>