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7D62" w14:textId="77777777" w:rsidR="00BC09ED" w:rsidRDefault="00BC09ED" w:rsidP="00BC09ED">
      <w:pPr>
        <w:pStyle w:val="Header"/>
      </w:pPr>
      <w:r>
        <w:rPr>
          <w:noProof/>
          <w:lang w:val="sq-AL" w:eastAsia="sq-AL"/>
        </w:rPr>
        <w:drawing>
          <wp:inline distT="0" distB="0" distL="0" distR="0" wp14:anchorId="27DA0B3E" wp14:editId="72EE1FEA">
            <wp:extent cx="1223159" cy="1223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616" cy="1254616"/>
                    </a:xfrm>
                    <a:prstGeom prst="rect">
                      <a:avLst/>
                    </a:prstGeom>
                    <a:noFill/>
                    <a:ln>
                      <a:noFill/>
                    </a:ln>
                  </pic:spPr>
                </pic:pic>
              </a:graphicData>
            </a:graphic>
          </wp:inline>
        </w:drawing>
      </w:r>
      <w:r>
        <w:tab/>
        <w:t xml:space="preserve">                                                                                                 </w:t>
      </w:r>
      <w:r w:rsidRPr="00BC2BBA">
        <w:rPr>
          <w:noProof/>
          <w:lang w:val="sq-AL" w:eastAsia="sq-AL"/>
        </w:rPr>
        <w:drawing>
          <wp:inline distT="0" distB="0" distL="0" distR="0" wp14:anchorId="344B3E68" wp14:editId="45A5F2EC">
            <wp:extent cx="985652" cy="1086650"/>
            <wp:effectExtent l="0" t="0" r="5080" b="0"/>
            <wp:docPr id="2" name="Picture 1" descr="A close up of a logo&#10;&#10;Description generated with very high confidence">
              <a:extLst xmlns:a="http://schemas.openxmlformats.org/drawingml/2006/main">
                <a:ext uri="{FF2B5EF4-FFF2-40B4-BE49-F238E27FC236}">
                  <a16:creationId xmlns:a16="http://schemas.microsoft.com/office/drawing/2014/main" id="{B3435178-ECAB-1841-8D24-2C508C8704BD}"/>
                </a:ext>
              </a:extLst>
            </wp:docPr>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generated with very high confidence">
                      <a:extLst>
                        <a:ext uri="{FF2B5EF4-FFF2-40B4-BE49-F238E27FC236}">
                          <a16:creationId xmlns:a16="http://schemas.microsoft.com/office/drawing/2014/main" id="{B3435178-ECAB-1841-8D24-2C508C8704BD}"/>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8081" cy="1089328"/>
                    </a:xfrm>
                    <a:prstGeom prst="rect">
                      <a:avLst/>
                    </a:prstGeom>
                  </pic:spPr>
                </pic:pic>
              </a:graphicData>
            </a:graphic>
          </wp:inline>
        </w:drawing>
      </w:r>
      <w:r>
        <w:t xml:space="preserve">     </w:t>
      </w:r>
      <w:r w:rsidRPr="00BC2BBA">
        <w:rPr>
          <w:noProof/>
          <w:lang w:val="sq-AL" w:eastAsia="sq-AL"/>
        </w:rPr>
        <w:drawing>
          <wp:inline distT="0" distB="0" distL="0" distR="0" wp14:anchorId="0A652B18" wp14:editId="6632E5A6">
            <wp:extent cx="1187533" cy="1112684"/>
            <wp:effectExtent l="0" t="0" r="0" b="0"/>
            <wp:docPr id="3" name="Picture 2" descr="cid:image003.png@01D35244.ACB71610">
              <a:extLst xmlns:a="http://schemas.openxmlformats.org/drawingml/2006/main">
                <a:ext uri="{FF2B5EF4-FFF2-40B4-BE49-F238E27FC236}">
                  <a16:creationId xmlns:a16="http://schemas.microsoft.com/office/drawing/2014/main" id="{9534AF3C-CA38-8E4E-8FE5-319E266A8B61}"/>
                </a:ext>
              </a:extLst>
            </wp:docPr>
            <wp:cNvGraphicFramePr/>
            <a:graphic xmlns:a="http://schemas.openxmlformats.org/drawingml/2006/main">
              <a:graphicData uri="http://schemas.openxmlformats.org/drawingml/2006/picture">
                <pic:pic xmlns:pic="http://schemas.openxmlformats.org/drawingml/2006/picture">
                  <pic:nvPicPr>
                    <pic:cNvPr id="3" name="Picture 2" descr="cid:image003.png@01D35244.ACB71610">
                      <a:extLst>
                        <a:ext uri="{FF2B5EF4-FFF2-40B4-BE49-F238E27FC236}">
                          <a16:creationId xmlns:a16="http://schemas.microsoft.com/office/drawing/2014/main" id="{9534AF3C-CA38-8E4E-8FE5-319E266A8B61}"/>
                        </a:ext>
                      </a:extLst>
                    </pic:cNvPr>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9662" cy="1133418"/>
                    </a:xfrm>
                    <a:prstGeom prst="rect">
                      <a:avLst/>
                    </a:prstGeom>
                    <a:noFill/>
                    <a:ln>
                      <a:noFill/>
                    </a:ln>
                  </pic:spPr>
                </pic:pic>
              </a:graphicData>
            </a:graphic>
          </wp:inline>
        </w:drawing>
      </w:r>
    </w:p>
    <w:p w14:paraId="493F3AF2" w14:textId="3A568DA0" w:rsidR="006D28B6" w:rsidRPr="00BF22A2" w:rsidRDefault="006D28B6" w:rsidP="006D28B6">
      <w:pPr>
        <w:jc w:val="center"/>
        <w:rPr>
          <w:b/>
          <w:sz w:val="28"/>
          <w:szCs w:val="28"/>
        </w:rPr>
      </w:pPr>
    </w:p>
    <w:p w14:paraId="19C53227" w14:textId="49A0F868" w:rsidR="006D28B6" w:rsidRPr="00BF22A2" w:rsidRDefault="00BC09ED" w:rsidP="00BC09ED">
      <w:pPr>
        <w:tabs>
          <w:tab w:val="left" w:pos="8775"/>
        </w:tabs>
        <w:rPr>
          <w:b/>
          <w:bCs/>
          <w:sz w:val="28"/>
          <w:szCs w:val="28"/>
        </w:rPr>
      </w:pPr>
      <w:r>
        <w:rPr>
          <w:b/>
          <w:bCs/>
          <w:sz w:val="28"/>
          <w:szCs w:val="28"/>
        </w:rPr>
        <w:tab/>
      </w:r>
      <w:bookmarkStart w:id="0" w:name="_GoBack"/>
      <w:bookmarkEnd w:id="0"/>
    </w:p>
    <w:p w14:paraId="3D21CCA6" w14:textId="258417E8" w:rsidR="006D28B6" w:rsidRDefault="006D28B6" w:rsidP="006D28B6">
      <w:pPr>
        <w:jc w:val="center"/>
        <w:rPr>
          <w:b/>
          <w:bCs/>
          <w:sz w:val="28"/>
          <w:szCs w:val="28"/>
        </w:rPr>
      </w:pPr>
      <w:r w:rsidRPr="00BF22A2">
        <w:rPr>
          <w:b/>
          <w:bCs/>
          <w:sz w:val="28"/>
          <w:szCs w:val="28"/>
        </w:rPr>
        <w:t>Mentoring Programme for Judges and Prosecutors</w:t>
      </w:r>
    </w:p>
    <w:p w14:paraId="5795DE85" w14:textId="2B8679D9" w:rsidR="00AE0449" w:rsidRDefault="00AE0449" w:rsidP="006D28B6">
      <w:pPr>
        <w:jc w:val="center"/>
        <w:rPr>
          <w:b/>
          <w:bCs/>
          <w:sz w:val="28"/>
          <w:szCs w:val="28"/>
        </w:rPr>
      </w:pPr>
    </w:p>
    <w:p w14:paraId="60FD3207" w14:textId="626992EA" w:rsidR="00AE0449" w:rsidRDefault="00AE0449" w:rsidP="006D28B6">
      <w:pPr>
        <w:jc w:val="center"/>
        <w:rPr>
          <w:b/>
          <w:bCs/>
          <w:sz w:val="28"/>
          <w:szCs w:val="28"/>
        </w:rPr>
      </w:pPr>
      <w:r>
        <w:rPr>
          <w:b/>
          <w:sz w:val="28"/>
          <w:szCs w:val="28"/>
        </w:rPr>
        <w:t>RE-</w:t>
      </w:r>
      <w:r w:rsidRPr="00BF22A2">
        <w:rPr>
          <w:b/>
          <w:sz w:val="28"/>
          <w:szCs w:val="28"/>
        </w:rPr>
        <w:t>ADVERTISEMENT</w:t>
      </w:r>
      <w:r>
        <w:rPr>
          <w:b/>
          <w:sz w:val="28"/>
          <w:szCs w:val="28"/>
        </w:rPr>
        <w:t xml:space="preserve"> TO ALL CRIMINAL JUDGES</w:t>
      </w:r>
    </w:p>
    <w:p w14:paraId="7FB17B56" w14:textId="56D58C99" w:rsidR="00AE0449" w:rsidRDefault="00AE0449" w:rsidP="006D28B6">
      <w:pPr>
        <w:jc w:val="center"/>
        <w:rPr>
          <w:b/>
          <w:bCs/>
          <w:sz w:val="28"/>
          <w:szCs w:val="28"/>
        </w:rPr>
      </w:pPr>
    </w:p>
    <w:p w14:paraId="597FBB3F" w14:textId="1B88818D" w:rsidR="00AE0449" w:rsidRPr="00AE0449" w:rsidRDefault="00AE0449" w:rsidP="00AE0449">
      <w:pPr>
        <w:rPr>
          <w:sz w:val="28"/>
          <w:szCs w:val="28"/>
        </w:rPr>
      </w:pPr>
      <w:r>
        <w:rPr>
          <w:b/>
          <w:bCs/>
          <w:sz w:val="28"/>
          <w:szCs w:val="28"/>
        </w:rPr>
        <w:t xml:space="preserve">Further </w:t>
      </w:r>
      <w:r>
        <w:rPr>
          <w:sz w:val="28"/>
          <w:szCs w:val="28"/>
        </w:rPr>
        <w:t xml:space="preserve">to the earlier advertisement regarding the above programme the British Embassy together with the Kosovo Judicial Council announce the Re-advertisement of the Mentoring Programme in order to enable all judges dealing with </w:t>
      </w:r>
      <w:r w:rsidR="00DC6654">
        <w:rPr>
          <w:sz w:val="28"/>
          <w:szCs w:val="28"/>
        </w:rPr>
        <w:t xml:space="preserve">the most serious </w:t>
      </w:r>
      <w:r>
        <w:rPr>
          <w:sz w:val="28"/>
          <w:szCs w:val="28"/>
        </w:rPr>
        <w:t>Criminal Cases to apply to take part in the Programme.</w:t>
      </w:r>
      <w:r w:rsidR="00DC6654">
        <w:rPr>
          <w:sz w:val="28"/>
          <w:szCs w:val="28"/>
        </w:rPr>
        <w:t xml:space="preserve"> Judges who have already applied need not apply again as their applications will be considered.</w:t>
      </w:r>
    </w:p>
    <w:p w14:paraId="54B4C4E9" w14:textId="77777777" w:rsidR="006D28B6" w:rsidRPr="00BF22A2" w:rsidRDefault="006D28B6" w:rsidP="006D28B6">
      <w:pPr>
        <w:jc w:val="both"/>
        <w:rPr>
          <w:sz w:val="28"/>
          <w:szCs w:val="28"/>
          <w:u w:val="single"/>
        </w:rPr>
      </w:pPr>
    </w:p>
    <w:p w14:paraId="35F2F8DC" w14:textId="2F2402B1" w:rsidR="006D28B6" w:rsidRPr="001E0C5B" w:rsidRDefault="00AE0449" w:rsidP="006D28B6">
      <w:pPr>
        <w:jc w:val="both"/>
        <w:rPr>
          <w:sz w:val="24"/>
          <w:szCs w:val="24"/>
        </w:rPr>
      </w:pPr>
      <w:r>
        <w:rPr>
          <w:sz w:val="24"/>
          <w:szCs w:val="24"/>
        </w:rPr>
        <w:t>The Programme will offer a unique</w:t>
      </w:r>
      <w:r w:rsidR="006D28B6" w:rsidRPr="001E0C5B">
        <w:rPr>
          <w:sz w:val="24"/>
          <w:szCs w:val="24"/>
        </w:rPr>
        <w:t xml:space="preserve"> positive learning experience with a view to improving skills and abilities </w:t>
      </w:r>
      <w:r>
        <w:rPr>
          <w:sz w:val="24"/>
          <w:szCs w:val="24"/>
        </w:rPr>
        <w:t>for those</w:t>
      </w:r>
      <w:r w:rsidR="006D28B6" w:rsidRPr="001E0C5B">
        <w:rPr>
          <w:sz w:val="24"/>
          <w:szCs w:val="24"/>
        </w:rPr>
        <w:t xml:space="preserve"> dealing with the most serious forms of criminal cases that come before the Courts in Kosovo. </w:t>
      </w:r>
    </w:p>
    <w:p w14:paraId="4541DE12" w14:textId="77777777" w:rsidR="006D28B6" w:rsidRPr="001E0C5B" w:rsidRDefault="006D28B6" w:rsidP="006D28B6">
      <w:pPr>
        <w:jc w:val="both"/>
        <w:rPr>
          <w:sz w:val="24"/>
          <w:szCs w:val="24"/>
        </w:rPr>
      </w:pPr>
    </w:p>
    <w:p w14:paraId="0AF143B1" w14:textId="40E195D6" w:rsidR="006D28B6" w:rsidRPr="001E0C5B" w:rsidRDefault="006D28B6" w:rsidP="006D28B6">
      <w:pPr>
        <w:jc w:val="both"/>
        <w:rPr>
          <w:sz w:val="24"/>
          <w:szCs w:val="24"/>
        </w:rPr>
      </w:pPr>
      <w:r w:rsidRPr="001E0C5B">
        <w:rPr>
          <w:sz w:val="24"/>
          <w:szCs w:val="24"/>
        </w:rPr>
        <w:t xml:space="preserve">A key aim of the programme is to strengthen the professional skills, integrity and confidence of </w:t>
      </w:r>
      <w:r w:rsidR="00AE0449">
        <w:rPr>
          <w:sz w:val="24"/>
          <w:szCs w:val="24"/>
        </w:rPr>
        <w:t xml:space="preserve">those </w:t>
      </w:r>
      <w:r w:rsidRPr="001E0C5B">
        <w:rPr>
          <w:sz w:val="24"/>
          <w:szCs w:val="24"/>
        </w:rPr>
        <w:t xml:space="preserve">selected </w:t>
      </w:r>
      <w:r w:rsidR="00AE0449">
        <w:rPr>
          <w:sz w:val="24"/>
          <w:szCs w:val="24"/>
        </w:rPr>
        <w:t xml:space="preserve">to participate </w:t>
      </w:r>
      <w:r w:rsidRPr="001E0C5B">
        <w:rPr>
          <w:sz w:val="24"/>
          <w:szCs w:val="24"/>
        </w:rPr>
        <w:t xml:space="preserve">through tailored individual mentoring and training. </w:t>
      </w:r>
      <w:r w:rsidR="00AE0449">
        <w:rPr>
          <w:sz w:val="24"/>
          <w:szCs w:val="24"/>
        </w:rPr>
        <w:t xml:space="preserve">Selection for the available places </w:t>
      </w:r>
      <w:r w:rsidRPr="001E0C5B">
        <w:rPr>
          <w:sz w:val="24"/>
          <w:szCs w:val="24"/>
        </w:rPr>
        <w:t>for the mentoring programme</w:t>
      </w:r>
      <w:r w:rsidR="00AE0449">
        <w:rPr>
          <w:sz w:val="24"/>
          <w:szCs w:val="24"/>
        </w:rPr>
        <w:t xml:space="preserve"> will take place by</w:t>
      </w:r>
      <w:r w:rsidRPr="001E0C5B">
        <w:rPr>
          <w:sz w:val="24"/>
          <w:szCs w:val="24"/>
        </w:rPr>
        <w:t xml:space="preserve"> an open and merit-based selection process.</w:t>
      </w:r>
    </w:p>
    <w:p w14:paraId="64BE8709" w14:textId="77777777" w:rsidR="006D28B6" w:rsidRPr="001E0C5B" w:rsidRDefault="006D28B6" w:rsidP="006D28B6">
      <w:pPr>
        <w:jc w:val="both"/>
        <w:rPr>
          <w:sz w:val="24"/>
          <w:szCs w:val="24"/>
        </w:rPr>
      </w:pPr>
    </w:p>
    <w:p w14:paraId="7C4F44C6" w14:textId="0B932D70" w:rsidR="006D28B6" w:rsidRPr="001E0C5B" w:rsidRDefault="006D28B6" w:rsidP="006D28B6">
      <w:pPr>
        <w:jc w:val="both"/>
        <w:rPr>
          <w:sz w:val="24"/>
          <w:szCs w:val="24"/>
        </w:rPr>
      </w:pPr>
      <w:r w:rsidRPr="001E0C5B">
        <w:rPr>
          <w:sz w:val="24"/>
          <w:szCs w:val="24"/>
        </w:rPr>
        <w:t>The programme will include intensive personal interaction with UK practitioners (Judges and Prosecutors) designed to enhance both technical and case management skills and helping to build career paths and prospects. Whilst most of the project activity will take place in Kosovo there will be study visit</w:t>
      </w:r>
      <w:r w:rsidR="00AE0449">
        <w:rPr>
          <w:sz w:val="24"/>
          <w:szCs w:val="24"/>
        </w:rPr>
        <w:t>s</w:t>
      </w:r>
      <w:r w:rsidRPr="001E0C5B">
        <w:rPr>
          <w:sz w:val="24"/>
          <w:szCs w:val="24"/>
        </w:rPr>
        <w:t xml:space="preserve"> to England, currently </w:t>
      </w:r>
      <w:bookmarkStart w:id="1" w:name="_Hlk14250636"/>
      <w:r w:rsidRPr="001E0C5B">
        <w:rPr>
          <w:sz w:val="24"/>
          <w:szCs w:val="24"/>
        </w:rPr>
        <w:t xml:space="preserve">planned for </w:t>
      </w:r>
      <w:r w:rsidR="00AE0449">
        <w:rPr>
          <w:sz w:val="24"/>
          <w:szCs w:val="24"/>
        </w:rPr>
        <w:t>Spring and</w:t>
      </w:r>
      <w:r w:rsidRPr="001E0C5B">
        <w:rPr>
          <w:sz w:val="24"/>
          <w:szCs w:val="24"/>
        </w:rPr>
        <w:t xml:space="preserve"> summer 2020, when the successful applicants will be able to meet Judges, Prosecutors and others working in the Criminal Justice Service of England and Wales, observe their ways of working, exchange ideas and gain valuable insights into best practice</w:t>
      </w:r>
      <w:bookmarkEnd w:id="1"/>
      <w:r w:rsidRPr="001E0C5B">
        <w:rPr>
          <w:sz w:val="24"/>
          <w:szCs w:val="24"/>
        </w:rPr>
        <w:t>.</w:t>
      </w:r>
    </w:p>
    <w:p w14:paraId="080E5E56" w14:textId="77777777" w:rsidR="006D28B6" w:rsidRPr="001E0C5B" w:rsidRDefault="006D28B6" w:rsidP="006D28B6">
      <w:pPr>
        <w:jc w:val="both"/>
        <w:rPr>
          <w:sz w:val="24"/>
          <w:szCs w:val="24"/>
        </w:rPr>
      </w:pPr>
    </w:p>
    <w:p w14:paraId="2A45CD34" w14:textId="77777777" w:rsidR="006D28B6" w:rsidRPr="001E0C5B" w:rsidRDefault="006D28B6" w:rsidP="006D28B6">
      <w:pPr>
        <w:jc w:val="both"/>
        <w:rPr>
          <w:sz w:val="24"/>
          <w:szCs w:val="24"/>
        </w:rPr>
      </w:pPr>
      <w:r w:rsidRPr="001E0C5B">
        <w:rPr>
          <w:sz w:val="24"/>
          <w:szCs w:val="24"/>
        </w:rPr>
        <w:t>It is expected that having completed the programme participants will be able and willing to disseminate the benefits of their learning to their colleagues.</w:t>
      </w:r>
    </w:p>
    <w:p w14:paraId="52DE1410" w14:textId="77777777" w:rsidR="006D28B6" w:rsidRPr="001E0C5B" w:rsidRDefault="006D28B6" w:rsidP="006D28B6">
      <w:pPr>
        <w:jc w:val="both"/>
        <w:rPr>
          <w:sz w:val="24"/>
          <w:szCs w:val="24"/>
        </w:rPr>
      </w:pPr>
    </w:p>
    <w:p w14:paraId="2CB4914A" w14:textId="77777777" w:rsidR="006D28B6" w:rsidRPr="001E0C5B" w:rsidRDefault="006D28B6" w:rsidP="006D28B6">
      <w:pPr>
        <w:jc w:val="both"/>
        <w:rPr>
          <w:sz w:val="24"/>
          <w:szCs w:val="24"/>
        </w:rPr>
      </w:pPr>
      <w:r w:rsidRPr="001E0C5B">
        <w:rPr>
          <w:sz w:val="24"/>
          <w:szCs w:val="24"/>
        </w:rPr>
        <w:t>The programme will focus on management of cases of the greatest difficulty and seriousness such as high-level corruption, serious organised crime and money laundering.</w:t>
      </w:r>
    </w:p>
    <w:p w14:paraId="263697CE" w14:textId="77777777" w:rsidR="006D28B6" w:rsidRPr="001E0C5B" w:rsidRDefault="006D28B6" w:rsidP="006D28B6">
      <w:pPr>
        <w:jc w:val="both"/>
        <w:rPr>
          <w:sz w:val="24"/>
          <w:szCs w:val="24"/>
        </w:rPr>
      </w:pPr>
    </w:p>
    <w:p w14:paraId="176A7E19" w14:textId="77777777" w:rsidR="006D28B6" w:rsidRPr="00BF22A2" w:rsidRDefault="006D28B6" w:rsidP="006D28B6">
      <w:pPr>
        <w:jc w:val="both"/>
        <w:rPr>
          <w:sz w:val="28"/>
          <w:szCs w:val="28"/>
        </w:rPr>
      </w:pPr>
      <w:r w:rsidRPr="00BF22A2">
        <w:rPr>
          <w:b/>
          <w:sz w:val="28"/>
          <w:szCs w:val="28"/>
        </w:rPr>
        <w:t>Successful participation in the programme will</w:t>
      </w:r>
      <w:r w:rsidRPr="00BF22A2">
        <w:rPr>
          <w:sz w:val="28"/>
          <w:szCs w:val="28"/>
        </w:rPr>
        <w:t>:</w:t>
      </w:r>
    </w:p>
    <w:p w14:paraId="6B744AC3" w14:textId="77777777" w:rsidR="006D28B6" w:rsidRPr="001E0C5B" w:rsidRDefault="006D28B6" w:rsidP="006D28B6">
      <w:pPr>
        <w:ind w:left="720"/>
        <w:jc w:val="both"/>
        <w:rPr>
          <w:sz w:val="24"/>
          <w:szCs w:val="24"/>
        </w:rPr>
      </w:pPr>
    </w:p>
    <w:p w14:paraId="67651831" w14:textId="77777777" w:rsidR="006D28B6" w:rsidRPr="00B25952" w:rsidRDefault="006D28B6" w:rsidP="006D28B6">
      <w:pPr>
        <w:pStyle w:val="ListParagraph"/>
        <w:numPr>
          <w:ilvl w:val="0"/>
          <w:numId w:val="6"/>
        </w:numPr>
        <w:jc w:val="both"/>
        <w:rPr>
          <w:sz w:val="24"/>
          <w:szCs w:val="24"/>
        </w:rPr>
      </w:pPr>
      <w:r w:rsidRPr="00B25952">
        <w:rPr>
          <w:sz w:val="24"/>
          <w:szCs w:val="24"/>
        </w:rPr>
        <w:t>Support individual and career development;</w:t>
      </w:r>
    </w:p>
    <w:p w14:paraId="2C5E0BA9" w14:textId="77777777" w:rsidR="006D28B6" w:rsidRPr="001E0C5B" w:rsidRDefault="006D28B6" w:rsidP="006D28B6">
      <w:pPr>
        <w:pStyle w:val="ListParagraph"/>
        <w:numPr>
          <w:ilvl w:val="0"/>
          <w:numId w:val="1"/>
        </w:numPr>
        <w:jc w:val="both"/>
        <w:rPr>
          <w:sz w:val="24"/>
          <w:szCs w:val="24"/>
        </w:rPr>
      </w:pPr>
      <w:r w:rsidRPr="001E0C5B">
        <w:rPr>
          <w:sz w:val="24"/>
          <w:szCs w:val="24"/>
        </w:rPr>
        <w:t>Help increase public confidence in the criminal justice system;</w:t>
      </w:r>
    </w:p>
    <w:p w14:paraId="2EF20F8A" w14:textId="77777777" w:rsidR="006D28B6" w:rsidRPr="001E0C5B" w:rsidRDefault="006D28B6" w:rsidP="006D28B6">
      <w:pPr>
        <w:pStyle w:val="ListParagraph"/>
        <w:numPr>
          <w:ilvl w:val="0"/>
          <w:numId w:val="1"/>
        </w:numPr>
        <w:jc w:val="both"/>
        <w:rPr>
          <w:sz w:val="24"/>
          <w:szCs w:val="24"/>
        </w:rPr>
      </w:pPr>
      <w:r w:rsidRPr="001E0C5B">
        <w:rPr>
          <w:sz w:val="24"/>
          <w:szCs w:val="24"/>
        </w:rPr>
        <w:t>Assist the participants in enhancing their skills and abilities in dealing with the most challenging criminal cases that come before the Courts.</w:t>
      </w:r>
    </w:p>
    <w:p w14:paraId="174ADD01" w14:textId="77777777" w:rsidR="006D28B6" w:rsidRPr="001E0C5B" w:rsidRDefault="006D28B6" w:rsidP="006D28B6">
      <w:pPr>
        <w:jc w:val="both"/>
        <w:rPr>
          <w:sz w:val="24"/>
          <w:szCs w:val="24"/>
        </w:rPr>
      </w:pPr>
    </w:p>
    <w:p w14:paraId="2E0D27DC" w14:textId="77777777" w:rsidR="006D28B6" w:rsidRPr="00BF22A2" w:rsidRDefault="006D28B6" w:rsidP="006D28B6">
      <w:pPr>
        <w:jc w:val="both"/>
        <w:rPr>
          <w:b/>
          <w:color w:val="000000" w:themeColor="text1"/>
          <w:sz w:val="28"/>
          <w:szCs w:val="28"/>
        </w:rPr>
      </w:pPr>
      <w:r w:rsidRPr="00BF22A2">
        <w:rPr>
          <w:b/>
          <w:color w:val="000000" w:themeColor="text1"/>
          <w:sz w:val="28"/>
          <w:szCs w:val="28"/>
        </w:rPr>
        <w:t xml:space="preserve">You must meet the following eligibility criteria and must: </w:t>
      </w:r>
    </w:p>
    <w:p w14:paraId="49BEFB1D" w14:textId="77777777" w:rsidR="006D28B6" w:rsidRPr="001E0C5B" w:rsidRDefault="006D28B6" w:rsidP="006D28B6">
      <w:pPr>
        <w:jc w:val="both"/>
        <w:rPr>
          <w:color w:val="000000" w:themeColor="text1"/>
          <w:sz w:val="24"/>
          <w:szCs w:val="24"/>
        </w:rPr>
      </w:pPr>
    </w:p>
    <w:p w14:paraId="3EB4595B" w14:textId="70813F33" w:rsidR="006D28B6" w:rsidRPr="001E2164" w:rsidRDefault="006D28B6" w:rsidP="006D28B6">
      <w:pPr>
        <w:pStyle w:val="ListParagraph"/>
        <w:numPr>
          <w:ilvl w:val="0"/>
          <w:numId w:val="2"/>
        </w:numPr>
        <w:jc w:val="both"/>
        <w:rPr>
          <w:color w:val="000000" w:themeColor="text1"/>
          <w:sz w:val="24"/>
          <w:szCs w:val="24"/>
        </w:rPr>
      </w:pPr>
      <w:r>
        <w:rPr>
          <w:color w:val="000000" w:themeColor="text1"/>
          <w:sz w:val="24"/>
          <w:szCs w:val="24"/>
        </w:rPr>
        <w:lastRenderedPageBreak/>
        <w:t>Be a</w:t>
      </w:r>
      <w:r w:rsidRPr="001E0C5B">
        <w:rPr>
          <w:color w:val="000000" w:themeColor="text1"/>
          <w:sz w:val="24"/>
          <w:szCs w:val="24"/>
        </w:rPr>
        <w:t xml:space="preserve"> Judge with a permanent mandate</w:t>
      </w:r>
      <w:r>
        <w:rPr>
          <w:color w:val="000000" w:themeColor="text1"/>
          <w:sz w:val="24"/>
          <w:szCs w:val="24"/>
        </w:rPr>
        <w:t xml:space="preserve"> </w:t>
      </w:r>
      <w:r w:rsidRPr="001E2164">
        <w:rPr>
          <w:color w:val="000000" w:themeColor="text1"/>
          <w:sz w:val="24"/>
          <w:szCs w:val="24"/>
        </w:rPr>
        <w:t xml:space="preserve">currently assigned to the Special Department </w:t>
      </w:r>
      <w:proofErr w:type="spellStart"/>
      <w:r w:rsidRPr="001E2164">
        <w:rPr>
          <w:color w:val="000000" w:themeColor="text1"/>
          <w:sz w:val="24"/>
          <w:szCs w:val="24"/>
        </w:rPr>
        <w:t>Prishtina</w:t>
      </w:r>
      <w:proofErr w:type="spellEnd"/>
      <w:r>
        <w:rPr>
          <w:color w:val="000000" w:themeColor="text1"/>
          <w:sz w:val="24"/>
          <w:szCs w:val="24"/>
        </w:rPr>
        <w:t xml:space="preserve"> </w:t>
      </w:r>
      <w:r w:rsidR="00922A56">
        <w:rPr>
          <w:color w:val="000000" w:themeColor="text1"/>
          <w:sz w:val="24"/>
          <w:szCs w:val="24"/>
        </w:rPr>
        <w:t xml:space="preserve">(trials or appeals) </w:t>
      </w:r>
      <w:r w:rsidR="00AE0449">
        <w:rPr>
          <w:color w:val="000000" w:themeColor="text1"/>
          <w:sz w:val="24"/>
          <w:szCs w:val="24"/>
        </w:rPr>
        <w:t>or</w:t>
      </w:r>
      <w:r>
        <w:rPr>
          <w:color w:val="000000" w:themeColor="text1"/>
          <w:sz w:val="24"/>
          <w:szCs w:val="24"/>
        </w:rPr>
        <w:t xml:space="preserve"> </w:t>
      </w:r>
      <w:r w:rsidRPr="001E2164">
        <w:rPr>
          <w:color w:val="000000" w:themeColor="text1"/>
          <w:sz w:val="24"/>
          <w:szCs w:val="24"/>
        </w:rPr>
        <w:t>currently assigned to the Serious Crime Department of a Basic Court;</w:t>
      </w:r>
      <w:r>
        <w:rPr>
          <w:color w:val="000000" w:themeColor="text1"/>
          <w:sz w:val="24"/>
          <w:szCs w:val="24"/>
        </w:rPr>
        <w:t xml:space="preserve"> or</w:t>
      </w:r>
      <w:r w:rsidR="00AE0449">
        <w:rPr>
          <w:color w:val="000000" w:themeColor="text1"/>
          <w:sz w:val="24"/>
          <w:szCs w:val="24"/>
        </w:rPr>
        <w:t xml:space="preserve"> </w:t>
      </w:r>
      <w:r w:rsidR="00DC6654">
        <w:rPr>
          <w:color w:val="000000" w:themeColor="text1"/>
          <w:sz w:val="24"/>
          <w:szCs w:val="24"/>
        </w:rPr>
        <w:t>an Appeal Court judge dealing with appeals in serious criminal cases.</w:t>
      </w:r>
    </w:p>
    <w:p w14:paraId="27D4DF63" w14:textId="77777777" w:rsidR="006D28B6" w:rsidRPr="001E0C5B" w:rsidRDefault="006D28B6" w:rsidP="006D28B6">
      <w:pPr>
        <w:pStyle w:val="ListParagraph"/>
        <w:jc w:val="both"/>
        <w:rPr>
          <w:color w:val="000000" w:themeColor="text1"/>
          <w:sz w:val="24"/>
          <w:szCs w:val="24"/>
        </w:rPr>
      </w:pPr>
    </w:p>
    <w:p w14:paraId="7B8B6996" w14:textId="77777777" w:rsidR="006D28B6" w:rsidRPr="00BA2965" w:rsidRDefault="006D28B6" w:rsidP="006D28B6">
      <w:pPr>
        <w:pStyle w:val="ListParagraph"/>
        <w:numPr>
          <w:ilvl w:val="0"/>
          <w:numId w:val="2"/>
        </w:numPr>
        <w:jc w:val="both"/>
        <w:rPr>
          <w:color w:val="000000" w:themeColor="text1"/>
          <w:sz w:val="24"/>
          <w:szCs w:val="24"/>
        </w:rPr>
      </w:pPr>
      <w:r>
        <w:rPr>
          <w:color w:val="000000" w:themeColor="text1"/>
          <w:sz w:val="24"/>
          <w:szCs w:val="24"/>
        </w:rPr>
        <w:t>Be willing</w:t>
      </w:r>
      <w:r w:rsidRPr="00BA2965">
        <w:rPr>
          <w:color w:val="000000" w:themeColor="text1"/>
          <w:sz w:val="24"/>
          <w:szCs w:val="24"/>
        </w:rPr>
        <w:t xml:space="preserve"> to undergo any verification process which may be required by any of the UK Organisations involved in delivering the mentoring programme;</w:t>
      </w:r>
    </w:p>
    <w:p w14:paraId="2E5EA3E4" w14:textId="77777777" w:rsidR="006D28B6" w:rsidRPr="00BA2965" w:rsidRDefault="006D28B6" w:rsidP="006D28B6">
      <w:pPr>
        <w:pStyle w:val="ListParagraph"/>
        <w:rPr>
          <w:b/>
          <w:color w:val="000000" w:themeColor="text1"/>
        </w:rPr>
      </w:pPr>
    </w:p>
    <w:p w14:paraId="7FC23A2A" w14:textId="77777777" w:rsidR="006D28B6" w:rsidRPr="00395397" w:rsidRDefault="006D28B6" w:rsidP="006D28B6">
      <w:pPr>
        <w:pStyle w:val="ListParagraph"/>
        <w:numPr>
          <w:ilvl w:val="0"/>
          <w:numId w:val="2"/>
        </w:numPr>
        <w:jc w:val="both"/>
        <w:rPr>
          <w:color w:val="000000" w:themeColor="text1"/>
          <w:sz w:val="24"/>
          <w:szCs w:val="24"/>
        </w:rPr>
      </w:pPr>
      <w:r w:rsidRPr="00BA2965">
        <w:rPr>
          <w:color w:val="000000" w:themeColor="text1"/>
          <w:sz w:val="24"/>
          <w:szCs w:val="24"/>
        </w:rPr>
        <w:t>Have a valid passport or be able to apply for one and be willing and able to travel to the UK possibly for an extended period of time;</w:t>
      </w:r>
    </w:p>
    <w:p w14:paraId="593E6361" w14:textId="77777777" w:rsidR="006D28B6" w:rsidRPr="00395397" w:rsidRDefault="006D28B6" w:rsidP="006D28B6">
      <w:pPr>
        <w:pStyle w:val="ListParagraph"/>
        <w:rPr>
          <w:b/>
          <w:color w:val="000000" w:themeColor="text1"/>
        </w:rPr>
      </w:pPr>
    </w:p>
    <w:p w14:paraId="49775F79" w14:textId="77250C41" w:rsidR="006D28B6" w:rsidRPr="00395397" w:rsidRDefault="006D28B6" w:rsidP="006D28B6">
      <w:pPr>
        <w:pStyle w:val="ListParagraph"/>
        <w:numPr>
          <w:ilvl w:val="0"/>
          <w:numId w:val="2"/>
        </w:numPr>
        <w:jc w:val="both"/>
        <w:rPr>
          <w:color w:val="000000" w:themeColor="text1"/>
          <w:sz w:val="24"/>
          <w:szCs w:val="24"/>
        </w:rPr>
      </w:pPr>
      <w:r w:rsidRPr="00395397">
        <w:rPr>
          <w:color w:val="000000" w:themeColor="text1"/>
          <w:sz w:val="24"/>
          <w:szCs w:val="24"/>
        </w:rPr>
        <w:t xml:space="preserve">Obtain the consent of </w:t>
      </w:r>
      <w:r>
        <w:rPr>
          <w:color w:val="000000" w:themeColor="text1"/>
          <w:sz w:val="24"/>
          <w:szCs w:val="24"/>
        </w:rPr>
        <w:t xml:space="preserve">your </w:t>
      </w:r>
      <w:r w:rsidRPr="00395397">
        <w:rPr>
          <w:color w:val="000000" w:themeColor="text1"/>
          <w:sz w:val="24"/>
          <w:szCs w:val="24"/>
        </w:rPr>
        <w:t xml:space="preserve">Court President to </w:t>
      </w:r>
      <w:r>
        <w:rPr>
          <w:color w:val="000000" w:themeColor="text1"/>
          <w:sz w:val="24"/>
          <w:szCs w:val="24"/>
        </w:rPr>
        <w:t>participate</w:t>
      </w:r>
      <w:r w:rsidRPr="00395397">
        <w:rPr>
          <w:color w:val="000000" w:themeColor="text1"/>
          <w:sz w:val="24"/>
          <w:szCs w:val="24"/>
        </w:rPr>
        <w:t xml:space="preserve"> in the project</w:t>
      </w:r>
      <w:r>
        <w:rPr>
          <w:color w:val="000000" w:themeColor="text1"/>
          <w:sz w:val="24"/>
          <w:szCs w:val="24"/>
        </w:rPr>
        <w:t>;</w:t>
      </w:r>
    </w:p>
    <w:p w14:paraId="039679A1" w14:textId="77777777" w:rsidR="006D28B6" w:rsidRPr="001E0C5B" w:rsidRDefault="006D28B6" w:rsidP="006D28B6">
      <w:pPr>
        <w:jc w:val="both"/>
        <w:rPr>
          <w:color w:val="000000" w:themeColor="text1"/>
          <w:sz w:val="24"/>
          <w:szCs w:val="24"/>
        </w:rPr>
      </w:pPr>
    </w:p>
    <w:p w14:paraId="3EC4D2B5" w14:textId="77777777" w:rsidR="006D28B6" w:rsidRPr="001E0C5B" w:rsidRDefault="006D28B6" w:rsidP="006D28B6">
      <w:pPr>
        <w:jc w:val="both"/>
        <w:rPr>
          <w:color w:val="000000" w:themeColor="text1"/>
          <w:sz w:val="24"/>
          <w:szCs w:val="24"/>
        </w:rPr>
      </w:pPr>
    </w:p>
    <w:p w14:paraId="1FD42C98" w14:textId="77777777" w:rsidR="006D28B6" w:rsidRPr="00BF22A2" w:rsidRDefault="006D28B6" w:rsidP="006D28B6">
      <w:pPr>
        <w:jc w:val="both"/>
        <w:rPr>
          <w:b/>
          <w:bCs/>
          <w:sz w:val="28"/>
          <w:szCs w:val="28"/>
        </w:rPr>
      </w:pPr>
      <w:r w:rsidRPr="00BF22A2">
        <w:rPr>
          <w:b/>
          <w:bCs/>
          <w:sz w:val="28"/>
          <w:szCs w:val="28"/>
        </w:rPr>
        <w:t>You will be assessed against the following criteria and selected based on merit:</w:t>
      </w:r>
    </w:p>
    <w:p w14:paraId="29BF7798" w14:textId="77777777" w:rsidR="006D28B6" w:rsidRDefault="006D28B6" w:rsidP="006D28B6">
      <w:pPr>
        <w:jc w:val="both"/>
        <w:rPr>
          <w:b/>
          <w:bCs/>
          <w:sz w:val="24"/>
          <w:szCs w:val="24"/>
        </w:rPr>
      </w:pPr>
    </w:p>
    <w:p w14:paraId="315BDAC9" w14:textId="77777777" w:rsidR="006D28B6" w:rsidRPr="000B2834" w:rsidRDefault="006D28B6" w:rsidP="006D28B6">
      <w:pPr>
        <w:pStyle w:val="ListParagraph"/>
        <w:numPr>
          <w:ilvl w:val="0"/>
          <w:numId w:val="5"/>
        </w:numPr>
        <w:jc w:val="both"/>
        <w:rPr>
          <w:color w:val="000000" w:themeColor="text1"/>
          <w:sz w:val="24"/>
          <w:szCs w:val="24"/>
        </w:rPr>
      </w:pPr>
      <w:r>
        <w:rPr>
          <w:b/>
          <w:color w:val="000000" w:themeColor="text1"/>
          <w:sz w:val="24"/>
          <w:szCs w:val="24"/>
        </w:rPr>
        <w:t xml:space="preserve">Language requirement - </w:t>
      </w:r>
      <w:r w:rsidRPr="000B2834">
        <w:rPr>
          <w:color w:val="000000" w:themeColor="text1"/>
          <w:sz w:val="24"/>
          <w:szCs w:val="24"/>
        </w:rPr>
        <w:t>A reasonable level of fluency in the English language ability is desirable but not essential. Should an applicant be selected who does not have the ability to speak English then they will be provided with language assistance.</w:t>
      </w:r>
    </w:p>
    <w:p w14:paraId="2BE51F52" w14:textId="77777777" w:rsidR="006D28B6" w:rsidRPr="00F9119D" w:rsidRDefault="006D28B6" w:rsidP="006D28B6">
      <w:pPr>
        <w:jc w:val="both"/>
        <w:rPr>
          <w:color w:val="000000" w:themeColor="text1"/>
          <w:sz w:val="24"/>
          <w:szCs w:val="24"/>
        </w:rPr>
      </w:pPr>
    </w:p>
    <w:p w14:paraId="0FEF5F83" w14:textId="77777777" w:rsidR="006D28B6" w:rsidRPr="000B2834" w:rsidRDefault="006D28B6" w:rsidP="006D28B6">
      <w:pPr>
        <w:pStyle w:val="ListParagraph"/>
        <w:numPr>
          <w:ilvl w:val="0"/>
          <w:numId w:val="5"/>
        </w:numPr>
        <w:jc w:val="both"/>
        <w:rPr>
          <w:b/>
          <w:color w:val="000000" w:themeColor="text1"/>
          <w:sz w:val="24"/>
          <w:szCs w:val="24"/>
        </w:rPr>
      </w:pPr>
      <w:r>
        <w:rPr>
          <w:b/>
          <w:color w:val="000000" w:themeColor="text1"/>
          <w:sz w:val="24"/>
          <w:szCs w:val="24"/>
        </w:rPr>
        <w:t>You</w:t>
      </w:r>
      <w:r w:rsidRPr="000B2834">
        <w:rPr>
          <w:b/>
          <w:color w:val="000000" w:themeColor="text1"/>
          <w:sz w:val="24"/>
          <w:szCs w:val="24"/>
        </w:rPr>
        <w:t xml:space="preserve"> must demonstrate:</w:t>
      </w:r>
    </w:p>
    <w:p w14:paraId="6D2FEC72" w14:textId="77777777" w:rsidR="006D28B6" w:rsidRPr="00F9119D" w:rsidRDefault="006D28B6" w:rsidP="006D28B6">
      <w:pPr>
        <w:jc w:val="both"/>
        <w:rPr>
          <w:color w:val="000000" w:themeColor="text1"/>
          <w:sz w:val="24"/>
          <w:szCs w:val="24"/>
        </w:rPr>
      </w:pPr>
    </w:p>
    <w:p w14:paraId="628EB2AB" w14:textId="77777777" w:rsidR="006D28B6" w:rsidRPr="00F9119D" w:rsidRDefault="006D28B6" w:rsidP="006D28B6">
      <w:pPr>
        <w:pStyle w:val="ListParagraph"/>
        <w:numPr>
          <w:ilvl w:val="0"/>
          <w:numId w:val="3"/>
        </w:numPr>
        <w:jc w:val="both"/>
        <w:rPr>
          <w:color w:val="000000" w:themeColor="text1"/>
          <w:sz w:val="24"/>
          <w:szCs w:val="24"/>
        </w:rPr>
      </w:pPr>
      <w:r>
        <w:rPr>
          <w:color w:val="000000" w:themeColor="text1"/>
          <w:sz w:val="24"/>
          <w:szCs w:val="24"/>
        </w:rPr>
        <w:t>A</w:t>
      </w:r>
      <w:r w:rsidRPr="00F9119D">
        <w:rPr>
          <w:color w:val="000000" w:themeColor="text1"/>
          <w:sz w:val="24"/>
          <w:szCs w:val="24"/>
        </w:rPr>
        <w:t xml:space="preserve"> high level of professionalism and personal commitment towards </w:t>
      </w:r>
      <w:r>
        <w:rPr>
          <w:color w:val="000000" w:themeColor="text1"/>
          <w:sz w:val="24"/>
          <w:szCs w:val="24"/>
        </w:rPr>
        <w:t>your</w:t>
      </w:r>
      <w:r w:rsidRPr="00F9119D">
        <w:rPr>
          <w:color w:val="000000" w:themeColor="text1"/>
          <w:sz w:val="24"/>
          <w:szCs w:val="24"/>
        </w:rPr>
        <w:t xml:space="preserve"> own personal development and the mentoring process.</w:t>
      </w:r>
    </w:p>
    <w:p w14:paraId="176941A2" w14:textId="77777777" w:rsidR="006D28B6" w:rsidRPr="00F9119D" w:rsidRDefault="006D28B6" w:rsidP="006D28B6">
      <w:pPr>
        <w:pStyle w:val="ListParagraph"/>
        <w:ind w:left="360"/>
        <w:jc w:val="both"/>
        <w:rPr>
          <w:color w:val="000000" w:themeColor="text1"/>
          <w:sz w:val="24"/>
          <w:szCs w:val="24"/>
        </w:rPr>
      </w:pPr>
    </w:p>
    <w:p w14:paraId="3C07B2D4" w14:textId="77777777" w:rsidR="006D28B6" w:rsidRPr="00F9119D" w:rsidRDefault="006D28B6" w:rsidP="006D28B6">
      <w:pPr>
        <w:pStyle w:val="ListParagraph"/>
        <w:numPr>
          <w:ilvl w:val="0"/>
          <w:numId w:val="3"/>
        </w:numPr>
        <w:jc w:val="both"/>
        <w:rPr>
          <w:color w:val="000000" w:themeColor="text1"/>
          <w:sz w:val="24"/>
          <w:szCs w:val="24"/>
        </w:rPr>
      </w:pPr>
      <w:r>
        <w:rPr>
          <w:color w:val="000000" w:themeColor="text1"/>
          <w:sz w:val="24"/>
          <w:szCs w:val="24"/>
        </w:rPr>
        <w:t>A</w:t>
      </w:r>
      <w:r w:rsidRPr="00F9119D">
        <w:rPr>
          <w:color w:val="000000" w:themeColor="text1"/>
          <w:sz w:val="24"/>
          <w:szCs w:val="24"/>
        </w:rPr>
        <w:t xml:space="preserve"> willingness and ability to deliver training to others based on </w:t>
      </w:r>
      <w:r>
        <w:rPr>
          <w:color w:val="000000" w:themeColor="text1"/>
          <w:sz w:val="24"/>
          <w:szCs w:val="24"/>
        </w:rPr>
        <w:t>your</w:t>
      </w:r>
      <w:r w:rsidRPr="00F9119D">
        <w:rPr>
          <w:color w:val="000000" w:themeColor="text1"/>
          <w:sz w:val="24"/>
          <w:szCs w:val="24"/>
        </w:rPr>
        <w:t xml:space="preserve"> own learning from the mentoring programme.</w:t>
      </w:r>
    </w:p>
    <w:p w14:paraId="0E6433BA" w14:textId="77777777" w:rsidR="006D28B6" w:rsidRPr="00F9119D" w:rsidRDefault="006D28B6" w:rsidP="006D28B6">
      <w:pPr>
        <w:pStyle w:val="ListParagraph"/>
        <w:rPr>
          <w:color w:val="000000" w:themeColor="text1"/>
          <w:sz w:val="24"/>
          <w:szCs w:val="24"/>
        </w:rPr>
      </w:pPr>
    </w:p>
    <w:p w14:paraId="35212FB4" w14:textId="77777777" w:rsidR="006D28B6" w:rsidRPr="00F9119D" w:rsidRDefault="006D28B6" w:rsidP="006D28B6">
      <w:pPr>
        <w:pStyle w:val="ListParagraph"/>
        <w:numPr>
          <w:ilvl w:val="0"/>
          <w:numId w:val="3"/>
        </w:numPr>
        <w:jc w:val="both"/>
        <w:rPr>
          <w:color w:val="000000" w:themeColor="text1"/>
          <w:sz w:val="24"/>
          <w:szCs w:val="24"/>
        </w:rPr>
      </w:pPr>
      <w:r w:rsidRPr="00F9119D">
        <w:rPr>
          <w:color w:val="000000" w:themeColor="text1"/>
          <w:sz w:val="24"/>
          <w:szCs w:val="24"/>
        </w:rPr>
        <w:t>The following professional competences:</w:t>
      </w:r>
    </w:p>
    <w:p w14:paraId="552FCAA8" w14:textId="77777777" w:rsidR="006D28B6" w:rsidRPr="00F9119D" w:rsidRDefault="006D28B6" w:rsidP="006D28B6">
      <w:pPr>
        <w:pStyle w:val="ListParagraph"/>
        <w:numPr>
          <w:ilvl w:val="0"/>
          <w:numId w:val="4"/>
        </w:numPr>
        <w:jc w:val="both"/>
        <w:rPr>
          <w:color w:val="000000" w:themeColor="text1"/>
          <w:sz w:val="24"/>
          <w:szCs w:val="24"/>
        </w:rPr>
      </w:pPr>
      <w:r w:rsidRPr="00F9119D">
        <w:rPr>
          <w:color w:val="000000" w:themeColor="text1"/>
          <w:sz w:val="24"/>
          <w:szCs w:val="24"/>
        </w:rPr>
        <w:t>effective decision making;</w:t>
      </w:r>
    </w:p>
    <w:p w14:paraId="257E66B3" w14:textId="77777777" w:rsidR="006D28B6" w:rsidRPr="00F9119D" w:rsidRDefault="006D28B6" w:rsidP="006D28B6">
      <w:pPr>
        <w:pStyle w:val="ListParagraph"/>
        <w:numPr>
          <w:ilvl w:val="0"/>
          <w:numId w:val="4"/>
        </w:numPr>
        <w:jc w:val="both"/>
        <w:rPr>
          <w:color w:val="000000" w:themeColor="text1"/>
          <w:sz w:val="24"/>
          <w:szCs w:val="24"/>
        </w:rPr>
      </w:pPr>
      <w:r w:rsidRPr="00F9119D">
        <w:rPr>
          <w:color w:val="000000" w:themeColor="text1"/>
          <w:sz w:val="24"/>
          <w:szCs w:val="24"/>
        </w:rPr>
        <w:t>effective problem solving;</w:t>
      </w:r>
    </w:p>
    <w:p w14:paraId="7D36A86E" w14:textId="77777777" w:rsidR="006D28B6" w:rsidRDefault="006D28B6" w:rsidP="006D28B6">
      <w:pPr>
        <w:pStyle w:val="ListParagraph"/>
        <w:numPr>
          <w:ilvl w:val="0"/>
          <w:numId w:val="4"/>
        </w:numPr>
        <w:jc w:val="both"/>
        <w:rPr>
          <w:color w:val="000000" w:themeColor="text1"/>
          <w:sz w:val="24"/>
          <w:szCs w:val="24"/>
        </w:rPr>
      </w:pPr>
      <w:r w:rsidRPr="00F9119D">
        <w:rPr>
          <w:color w:val="000000" w:themeColor="text1"/>
          <w:sz w:val="24"/>
          <w:szCs w:val="24"/>
        </w:rPr>
        <w:t>impartiality;</w:t>
      </w:r>
    </w:p>
    <w:p w14:paraId="34E88823" w14:textId="77777777" w:rsidR="006D28B6" w:rsidRPr="000B2834" w:rsidRDefault="006D28B6" w:rsidP="006D28B6">
      <w:pPr>
        <w:pStyle w:val="ListParagraph"/>
        <w:numPr>
          <w:ilvl w:val="0"/>
          <w:numId w:val="4"/>
        </w:numPr>
        <w:jc w:val="both"/>
        <w:rPr>
          <w:color w:val="000000" w:themeColor="text1"/>
          <w:sz w:val="24"/>
          <w:szCs w:val="24"/>
        </w:rPr>
      </w:pPr>
      <w:r w:rsidRPr="000B2834">
        <w:rPr>
          <w:color w:val="000000" w:themeColor="text1"/>
          <w:sz w:val="24"/>
          <w:szCs w:val="24"/>
        </w:rPr>
        <w:t>integrity;</w:t>
      </w:r>
    </w:p>
    <w:p w14:paraId="57BB6A13" w14:textId="77777777" w:rsidR="006D28B6" w:rsidRDefault="006D28B6" w:rsidP="006D28B6">
      <w:pPr>
        <w:jc w:val="both"/>
        <w:rPr>
          <w:sz w:val="24"/>
          <w:szCs w:val="24"/>
        </w:rPr>
      </w:pPr>
      <w:r w:rsidRPr="000B2834">
        <w:rPr>
          <w:sz w:val="24"/>
          <w:szCs w:val="24"/>
        </w:rPr>
        <w:t xml:space="preserve"> </w:t>
      </w:r>
    </w:p>
    <w:p w14:paraId="4BE1400E" w14:textId="77777777" w:rsidR="006D28B6" w:rsidRPr="000B2834" w:rsidRDefault="006D28B6" w:rsidP="006D28B6">
      <w:pPr>
        <w:jc w:val="both"/>
        <w:rPr>
          <w:sz w:val="24"/>
          <w:szCs w:val="24"/>
        </w:rPr>
      </w:pPr>
      <w:r w:rsidRPr="000B2834">
        <w:rPr>
          <w:sz w:val="24"/>
          <w:szCs w:val="24"/>
        </w:rPr>
        <w:t>You should explain how you meet the</w:t>
      </w:r>
      <w:r>
        <w:rPr>
          <w:sz w:val="24"/>
          <w:szCs w:val="24"/>
        </w:rPr>
        <w:t xml:space="preserve">se </w:t>
      </w:r>
      <w:r w:rsidRPr="000B2834">
        <w:rPr>
          <w:sz w:val="24"/>
          <w:szCs w:val="24"/>
        </w:rPr>
        <w:t>assessment criteria in the Application Form</w:t>
      </w:r>
      <w:r>
        <w:rPr>
          <w:sz w:val="24"/>
          <w:szCs w:val="24"/>
        </w:rPr>
        <w:t>.</w:t>
      </w:r>
    </w:p>
    <w:p w14:paraId="1B633B2B" w14:textId="77777777" w:rsidR="006D28B6" w:rsidRPr="001E0C5B" w:rsidRDefault="006D28B6" w:rsidP="006D28B6">
      <w:pPr>
        <w:jc w:val="both"/>
        <w:rPr>
          <w:sz w:val="24"/>
          <w:szCs w:val="24"/>
        </w:rPr>
      </w:pPr>
    </w:p>
    <w:p w14:paraId="48E1B18B" w14:textId="77777777" w:rsidR="006D28B6" w:rsidRDefault="006D28B6" w:rsidP="006D28B6">
      <w:pPr>
        <w:jc w:val="both"/>
        <w:rPr>
          <w:b/>
          <w:sz w:val="24"/>
          <w:szCs w:val="24"/>
        </w:rPr>
      </w:pPr>
    </w:p>
    <w:p w14:paraId="156501EF" w14:textId="77777777" w:rsidR="006D28B6" w:rsidRPr="00BF22A2" w:rsidRDefault="006D28B6" w:rsidP="006D28B6">
      <w:pPr>
        <w:jc w:val="both"/>
        <w:rPr>
          <w:b/>
          <w:sz w:val="28"/>
          <w:szCs w:val="28"/>
        </w:rPr>
      </w:pPr>
      <w:r w:rsidRPr="00BF22A2">
        <w:rPr>
          <w:b/>
          <w:sz w:val="28"/>
          <w:szCs w:val="28"/>
        </w:rPr>
        <w:t>Submitting your application:</w:t>
      </w:r>
    </w:p>
    <w:p w14:paraId="5F07D888" w14:textId="77777777" w:rsidR="006D28B6" w:rsidRPr="00B25952" w:rsidRDefault="006D28B6" w:rsidP="006D28B6">
      <w:pPr>
        <w:jc w:val="both"/>
        <w:rPr>
          <w:b/>
          <w:sz w:val="24"/>
          <w:szCs w:val="24"/>
        </w:rPr>
      </w:pPr>
    </w:p>
    <w:p w14:paraId="4B0AC7C6" w14:textId="5CF5FFD1" w:rsidR="006D28B6" w:rsidRPr="001E0C5B" w:rsidRDefault="006D28B6" w:rsidP="006D28B6">
      <w:pPr>
        <w:jc w:val="both"/>
        <w:rPr>
          <w:sz w:val="24"/>
          <w:szCs w:val="24"/>
        </w:rPr>
      </w:pPr>
      <w:r w:rsidRPr="001E0C5B">
        <w:rPr>
          <w:sz w:val="24"/>
          <w:szCs w:val="24"/>
        </w:rPr>
        <w:t xml:space="preserve">Judges who wish to apply for this opportunity should complete the attached Application Form and ensure that it is submitted by email to Mark Dixon </w:t>
      </w:r>
      <w:hyperlink r:id="rId9" w:history="1">
        <w:r w:rsidRPr="001E0C5B">
          <w:rPr>
            <w:rStyle w:val="Hyperlink"/>
            <w:sz w:val="24"/>
            <w:szCs w:val="24"/>
          </w:rPr>
          <w:t>markdixon@agencialtd.com</w:t>
        </w:r>
      </w:hyperlink>
      <w:r w:rsidRPr="001E0C5B">
        <w:rPr>
          <w:sz w:val="24"/>
          <w:szCs w:val="24"/>
        </w:rPr>
        <w:t xml:space="preserve"> by no later than </w:t>
      </w:r>
      <w:r w:rsidR="00183B80">
        <w:rPr>
          <w:sz w:val="24"/>
          <w:szCs w:val="24"/>
        </w:rPr>
        <w:t>Friday 4</w:t>
      </w:r>
      <w:r w:rsidR="00183B80" w:rsidRPr="00183B80">
        <w:rPr>
          <w:sz w:val="24"/>
          <w:szCs w:val="24"/>
          <w:vertAlign w:val="superscript"/>
        </w:rPr>
        <w:t>th</w:t>
      </w:r>
      <w:r w:rsidR="00183B80">
        <w:rPr>
          <w:sz w:val="24"/>
          <w:szCs w:val="24"/>
        </w:rPr>
        <w:t xml:space="preserve"> October</w:t>
      </w:r>
      <w:r w:rsidR="00DC6654">
        <w:rPr>
          <w:sz w:val="24"/>
          <w:szCs w:val="24"/>
        </w:rPr>
        <w:t xml:space="preserve"> </w:t>
      </w:r>
      <w:r w:rsidRPr="001E0C5B">
        <w:rPr>
          <w:sz w:val="24"/>
          <w:szCs w:val="24"/>
        </w:rPr>
        <w:t xml:space="preserve">2019. Interviews are currently planned for </w:t>
      </w:r>
      <w:r w:rsidR="00DC6654">
        <w:rPr>
          <w:sz w:val="24"/>
          <w:szCs w:val="24"/>
        </w:rPr>
        <w:t>w/c 21</w:t>
      </w:r>
      <w:r w:rsidR="00DC6654" w:rsidRPr="00DC6654">
        <w:rPr>
          <w:sz w:val="24"/>
          <w:szCs w:val="24"/>
          <w:vertAlign w:val="superscript"/>
        </w:rPr>
        <w:t>st</w:t>
      </w:r>
      <w:r w:rsidR="00DC6654">
        <w:rPr>
          <w:sz w:val="24"/>
          <w:szCs w:val="24"/>
        </w:rPr>
        <w:t xml:space="preserve"> October</w:t>
      </w:r>
      <w:r w:rsidRPr="001E0C5B">
        <w:rPr>
          <w:sz w:val="24"/>
          <w:szCs w:val="24"/>
        </w:rPr>
        <w:t xml:space="preserve"> 2019. </w:t>
      </w:r>
    </w:p>
    <w:p w14:paraId="779EE61F" w14:textId="77777777" w:rsidR="006D28B6" w:rsidRPr="001E0C5B" w:rsidRDefault="006D28B6" w:rsidP="006D28B6">
      <w:pPr>
        <w:ind w:left="720"/>
        <w:jc w:val="both"/>
        <w:rPr>
          <w:sz w:val="24"/>
          <w:szCs w:val="24"/>
        </w:rPr>
      </w:pPr>
    </w:p>
    <w:p w14:paraId="25EF2262" w14:textId="77777777" w:rsidR="006D28B6" w:rsidRPr="001E0C5B" w:rsidRDefault="006D28B6" w:rsidP="006D28B6">
      <w:pPr>
        <w:jc w:val="both"/>
        <w:rPr>
          <w:sz w:val="24"/>
          <w:szCs w:val="24"/>
        </w:rPr>
      </w:pPr>
      <w:r w:rsidRPr="001E0C5B">
        <w:rPr>
          <w:sz w:val="24"/>
          <w:szCs w:val="24"/>
        </w:rPr>
        <w:t xml:space="preserve">Further information may be obtained from </w:t>
      </w:r>
      <w:hyperlink r:id="rId10" w:history="1">
        <w:r w:rsidRPr="001E0C5B">
          <w:rPr>
            <w:rStyle w:val="Hyperlink"/>
            <w:sz w:val="24"/>
            <w:szCs w:val="24"/>
          </w:rPr>
          <w:t>markdixon@agencialtd.com</w:t>
        </w:r>
      </w:hyperlink>
      <w:r w:rsidRPr="001E0C5B">
        <w:rPr>
          <w:sz w:val="24"/>
          <w:szCs w:val="24"/>
        </w:rPr>
        <w:t xml:space="preserve">  Blerina Jashari </w:t>
      </w:r>
      <w:hyperlink r:id="rId11" w:history="1">
        <w:r w:rsidRPr="001E0C5B">
          <w:rPr>
            <w:rStyle w:val="Hyperlink"/>
            <w:sz w:val="24"/>
            <w:szCs w:val="24"/>
          </w:rPr>
          <w:t>blerina.jashari@axiom-international-ltd.com</w:t>
        </w:r>
      </w:hyperlink>
      <w:r w:rsidRPr="001E0C5B">
        <w:rPr>
          <w:sz w:val="24"/>
          <w:szCs w:val="24"/>
        </w:rPr>
        <w:t xml:space="preserve"> or </w:t>
      </w:r>
      <w:hyperlink r:id="rId12" w:history="1">
        <w:r w:rsidRPr="001E0C5B">
          <w:rPr>
            <w:rStyle w:val="Hyperlink"/>
            <w:sz w:val="24"/>
            <w:szCs w:val="24"/>
          </w:rPr>
          <w:t>jovic.miodrag@gmail.com</w:t>
        </w:r>
      </w:hyperlink>
      <w:r w:rsidRPr="001E0C5B">
        <w:rPr>
          <w:sz w:val="24"/>
          <w:szCs w:val="24"/>
        </w:rPr>
        <w:t xml:space="preserve"> who will be delighted to assist. </w:t>
      </w:r>
    </w:p>
    <w:p w14:paraId="6206CB76" w14:textId="77777777" w:rsidR="006D28B6" w:rsidRPr="001E0C5B" w:rsidRDefault="006D28B6" w:rsidP="006D28B6">
      <w:pPr>
        <w:ind w:left="720"/>
        <w:jc w:val="both"/>
        <w:rPr>
          <w:sz w:val="24"/>
          <w:szCs w:val="24"/>
        </w:rPr>
      </w:pPr>
    </w:p>
    <w:p w14:paraId="39B8611C" w14:textId="77777777" w:rsidR="006D28B6" w:rsidRPr="001E0C5B" w:rsidRDefault="006D28B6" w:rsidP="006D28B6">
      <w:pPr>
        <w:ind w:left="720"/>
        <w:jc w:val="both"/>
        <w:rPr>
          <w:sz w:val="24"/>
          <w:szCs w:val="24"/>
        </w:rPr>
      </w:pPr>
    </w:p>
    <w:p w14:paraId="71723095" w14:textId="77777777" w:rsidR="006D28B6" w:rsidRPr="001E0C5B" w:rsidRDefault="006D28B6" w:rsidP="006D28B6">
      <w:pPr>
        <w:jc w:val="both"/>
        <w:rPr>
          <w:sz w:val="24"/>
          <w:szCs w:val="24"/>
        </w:rPr>
      </w:pPr>
    </w:p>
    <w:p w14:paraId="44BEB3EC" w14:textId="77777777" w:rsidR="006D28B6" w:rsidRPr="001E0C5B" w:rsidRDefault="006D28B6" w:rsidP="006D28B6">
      <w:pPr>
        <w:jc w:val="both"/>
        <w:rPr>
          <w:sz w:val="24"/>
          <w:szCs w:val="24"/>
        </w:rPr>
      </w:pPr>
    </w:p>
    <w:p w14:paraId="63093EDF" w14:textId="77777777" w:rsidR="006D28B6" w:rsidRPr="001E0C5B" w:rsidRDefault="006D28B6" w:rsidP="006D28B6">
      <w:pPr>
        <w:jc w:val="both"/>
        <w:rPr>
          <w:sz w:val="24"/>
          <w:szCs w:val="24"/>
        </w:rPr>
      </w:pPr>
    </w:p>
    <w:p w14:paraId="7D9B7E74" w14:textId="77777777" w:rsidR="006D28B6" w:rsidRDefault="006D28B6"/>
    <w:sectPr w:rsidR="006D28B6" w:rsidSect="009D2B4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0612"/>
    <w:multiLevelType w:val="hybridMultilevel"/>
    <w:tmpl w:val="24F2CAF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00EC7"/>
    <w:multiLevelType w:val="hybridMultilevel"/>
    <w:tmpl w:val="76A4D986"/>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6A46BB"/>
    <w:multiLevelType w:val="hybridMultilevel"/>
    <w:tmpl w:val="37E6C812"/>
    <w:lvl w:ilvl="0" w:tplc="E00EFCF0">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54DC5"/>
    <w:multiLevelType w:val="hybridMultilevel"/>
    <w:tmpl w:val="98D0E898"/>
    <w:lvl w:ilvl="0" w:tplc="08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B61C7C"/>
    <w:multiLevelType w:val="hybridMultilevel"/>
    <w:tmpl w:val="B9C8A9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9C1074"/>
    <w:multiLevelType w:val="hybridMultilevel"/>
    <w:tmpl w:val="2554559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B6"/>
    <w:rsid w:val="00183B80"/>
    <w:rsid w:val="00487FA4"/>
    <w:rsid w:val="006D28B6"/>
    <w:rsid w:val="00922A56"/>
    <w:rsid w:val="00AE0449"/>
    <w:rsid w:val="00BC09ED"/>
    <w:rsid w:val="00DC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01D3"/>
  <w15:chartTrackingRefBased/>
  <w15:docId w15:val="{B53B3519-85B9-4E77-B246-FA2919BD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28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B6"/>
    <w:pPr>
      <w:ind w:left="720"/>
      <w:contextualSpacing/>
    </w:pPr>
  </w:style>
  <w:style w:type="character" w:styleId="Hyperlink">
    <w:name w:val="Hyperlink"/>
    <w:basedOn w:val="DefaultParagraphFont"/>
    <w:uiPriority w:val="99"/>
    <w:unhideWhenUsed/>
    <w:rsid w:val="006D28B6"/>
    <w:rPr>
      <w:color w:val="0563C1" w:themeColor="hyperlink"/>
      <w:u w:val="single"/>
    </w:rPr>
  </w:style>
  <w:style w:type="paragraph" w:styleId="Header">
    <w:name w:val="header"/>
    <w:basedOn w:val="Normal"/>
    <w:link w:val="HeaderChar"/>
    <w:uiPriority w:val="99"/>
    <w:unhideWhenUsed/>
    <w:rsid w:val="00BC09ED"/>
    <w:pPr>
      <w:tabs>
        <w:tab w:val="center" w:pos="4513"/>
        <w:tab w:val="right" w:pos="9026"/>
      </w:tabs>
    </w:pPr>
  </w:style>
  <w:style w:type="character" w:customStyle="1" w:styleId="HeaderChar">
    <w:name w:val="Header Char"/>
    <w:basedOn w:val="DefaultParagraphFont"/>
    <w:link w:val="Header"/>
    <w:uiPriority w:val="99"/>
    <w:rsid w:val="00BC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5A2D.199CED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jovic.miodra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lerina.jashari@axiom-international-ltd.com" TargetMode="External"/><Relationship Id="rId5" Type="http://schemas.openxmlformats.org/officeDocument/2006/relationships/image" Target="media/image1.jpeg"/><Relationship Id="rId10" Type="http://schemas.openxmlformats.org/officeDocument/2006/relationships/hyperlink" Target="mailto:markdixon@agencialtd.com" TargetMode="External"/><Relationship Id="rId4" Type="http://schemas.openxmlformats.org/officeDocument/2006/relationships/webSettings" Target="webSettings.xml"/><Relationship Id="rId9" Type="http://schemas.openxmlformats.org/officeDocument/2006/relationships/hyperlink" Target="mailto:markdixon@agencialt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Clayson, HH Timothy</dc:creator>
  <cp:keywords/>
  <dc:description/>
  <cp:lastModifiedBy>Blerina</cp:lastModifiedBy>
  <cp:revision>2</cp:revision>
  <dcterms:created xsi:type="dcterms:W3CDTF">2019-09-24T09:27:00Z</dcterms:created>
  <dcterms:modified xsi:type="dcterms:W3CDTF">2019-09-24T09:27:00Z</dcterms:modified>
</cp:coreProperties>
</file>